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widowControl w:val="1"/>
        <w:ind/>
        <w:jc w:val="center"/>
      </w:pPr>
    </w:p>
    <w:p w14:paraId="06000000">
      <w:pPr>
        <w:pStyle w:val="Style_3"/>
        <w:widowControl w:val="1"/>
        <w:ind/>
        <w:jc w:val="center"/>
        <w:rPr>
          <w:b w:val="1"/>
        </w:rPr>
      </w:pPr>
      <w:r>
        <w:drawing>
          <wp:inline>
            <wp:extent cx="540766" cy="523875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40766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7000000">
      <w:pPr>
        <w:pStyle w:val="Style_3"/>
        <w:widowControl w:val="1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8000000">
      <w:pPr>
        <w:widowControl w:val="1"/>
        <w:ind/>
        <w:jc w:val="center"/>
        <w:rPr>
          <w:b w:val="1"/>
        </w:rPr>
      </w:pPr>
      <w:r>
        <w:rPr>
          <w:b w:val="1"/>
        </w:rPr>
        <w:t>ГОРОДА ТАГАНРОГА</w:t>
      </w:r>
      <w:r>
        <w:rPr>
          <w:b w:val="1"/>
        </w:rPr>
        <w:t xml:space="preserve"> (ВОСТОЧНАЯ</w:t>
      </w:r>
      <w:r>
        <w:rPr>
          <w:b w:val="1"/>
        </w:rPr>
        <w:t>)</w:t>
      </w:r>
      <w:r>
        <w:rPr>
          <w:b w:val="1"/>
        </w:rPr>
        <w:t xml:space="preserve"> РОСТОВСКОЙ ОБЛАСТИ</w:t>
      </w:r>
    </w:p>
    <w:p w14:paraId="09000000">
      <w:pPr>
        <w:widowControl w:val="1"/>
        <w:ind/>
        <w:jc w:val="center"/>
        <w:rPr>
          <w:b w:val="1"/>
          <w:sz w:val="26"/>
        </w:rPr>
      </w:pPr>
    </w:p>
    <w:p w14:paraId="0A000000">
      <w:pPr>
        <w:pStyle w:val="Style_4"/>
      </w:pPr>
      <w:r>
        <w:t xml:space="preserve">ПОСТАНОВЛЕНИЕ </w:t>
      </w:r>
    </w:p>
    <w:p w14:paraId="0B000000">
      <w:pPr>
        <w:widowControl w:val="1"/>
        <w:ind/>
        <w:jc w:val="center"/>
        <w:rPr>
          <w:b w:val="1"/>
        </w:rPr>
      </w:pPr>
    </w:p>
    <w:p w14:paraId="0C000000">
      <w:r>
        <w:t>21</w:t>
      </w:r>
      <w:r>
        <w:t xml:space="preserve"> </w:t>
      </w:r>
      <w:r>
        <w:t>сентября</w:t>
      </w:r>
      <w:r>
        <w:t xml:space="preserve"> 20</w:t>
      </w:r>
      <w:r>
        <w:t>26</w:t>
      </w:r>
      <w:r>
        <w:t xml:space="preserve"> г.      </w:t>
      </w:r>
      <w:r>
        <w:t xml:space="preserve">    </w:t>
      </w:r>
      <w:r>
        <w:t xml:space="preserve">  </w:t>
      </w:r>
      <w:r>
        <w:t xml:space="preserve">               </w:t>
      </w:r>
      <w:r>
        <w:t xml:space="preserve">           </w:t>
      </w:r>
      <w:r>
        <w:t xml:space="preserve">                                             </w:t>
      </w:r>
      <w:r>
        <w:t xml:space="preserve">    </w:t>
      </w:r>
      <w:r>
        <w:t xml:space="preserve"> № 20</w:t>
      </w:r>
      <w:r>
        <w:t>-1</w:t>
      </w:r>
    </w:p>
    <w:p w14:paraId="0D000000">
      <w:pPr>
        <w:widowControl w:val="1"/>
        <w:ind/>
        <w:jc w:val="center"/>
      </w:pPr>
      <w:r>
        <w:t xml:space="preserve">    </w:t>
      </w:r>
    </w:p>
    <w:p w14:paraId="0E000000">
      <w:pPr>
        <w:widowControl w:val="1"/>
        <w:ind/>
        <w:jc w:val="center"/>
      </w:pPr>
      <w:r>
        <w:t>г.</w:t>
      </w:r>
      <w:r>
        <w:t xml:space="preserve"> </w:t>
      </w:r>
      <w:r>
        <w:t>Таганрог</w:t>
      </w:r>
    </w:p>
    <w:p w14:paraId="0F000000">
      <w:pPr>
        <w:widowControl w:val="1"/>
        <w:ind/>
        <w:jc w:val="center"/>
      </w:pPr>
    </w:p>
    <w:p w14:paraId="10000000">
      <w:pPr>
        <w:widowControl w:val="1"/>
        <w:ind w:firstLine="0" w:left="1134" w:right="1419"/>
        <w:jc w:val="both"/>
        <w:rPr>
          <w:b w:val="1"/>
          <w:sz w:val="28"/>
        </w:rPr>
      </w:pPr>
      <w:r>
        <w:rPr>
          <w:b w:val="1"/>
          <w:sz w:val="28"/>
        </w:rPr>
        <w:t xml:space="preserve">Об </w:t>
      </w:r>
      <w:r>
        <w:rPr>
          <w:b w:val="1"/>
          <w:sz w:val="28"/>
        </w:rPr>
        <w:t>итог</w:t>
      </w:r>
      <w:r>
        <w:rPr>
          <w:b w:val="1"/>
          <w:sz w:val="28"/>
        </w:rPr>
        <w:t>ах</w:t>
      </w:r>
      <w:r>
        <w:rPr>
          <w:b w:val="1"/>
          <w:sz w:val="28"/>
        </w:rPr>
        <w:t xml:space="preserve"> голосов</w:t>
      </w:r>
      <w:r>
        <w:rPr>
          <w:b w:val="1"/>
          <w:sz w:val="28"/>
        </w:rPr>
        <w:t xml:space="preserve">ания </w:t>
      </w:r>
      <w:r>
        <w:rPr>
          <w:b w:val="1"/>
          <w:sz w:val="28"/>
        </w:rPr>
        <w:t>н</w:t>
      </w:r>
      <w:r>
        <w:rPr>
          <w:b w:val="1"/>
          <w:sz w:val="28"/>
        </w:rPr>
        <w:t>а</w:t>
      </w:r>
      <w:r>
        <w:rPr>
          <w:b w:val="1"/>
          <w:sz w:val="28"/>
        </w:rPr>
        <w:t xml:space="preserve"> выбора</w:t>
      </w:r>
      <w:r>
        <w:rPr>
          <w:b w:val="1"/>
          <w:sz w:val="28"/>
        </w:rPr>
        <w:t>х</w:t>
      </w:r>
      <w:r>
        <w:rPr>
          <w:b w:val="1"/>
          <w:sz w:val="28"/>
        </w:rPr>
        <w:t xml:space="preserve"> депутатов Госуда</w:t>
      </w:r>
      <w:r>
        <w:rPr>
          <w:b w:val="1"/>
          <w:sz w:val="28"/>
        </w:rPr>
        <w:t xml:space="preserve">рственной Думы Федерального Собрания Российской Федерации </w:t>
      </w:r>
      <w:r>
        <w:rPr>
          <w:b w:val="1"/>
          <w:sz w:val="28"/>
        </w:rPr>
        <w:t xml:space="preserve">девятого созыва </w:t>
      </w:r>
      <w:r>
        <w:rPr>
          <w:b w:val="1"/>
          <w:sz w:val="28"/>
        </w:rPr>
        <w:t xml:space="preserve">по </w:t>
      </w:r>
      <w:r>
        <w:rPr>
          <w:b w:val="1"/>
          <w:sz w:val="28"/>
        </w:rPr>
        <w:t>одномандатному избирательному округу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Ростовская область - Неклиновский</w:t>
      </w:r>
      <w:r>
        <w:rPr>
          <w:b w:val="1"/>
          <w:color w:val="FF0000"/>
          <w:sz w:val="28"/>
        </w:rPr>
        <w:t xml:space="preserve"> </w:t>
      </w:r>
      <w:r>
        <w:rPr>
          <w:b w:val="1"/>
          <w:sz w:val="28"/>
        </w:rPr>
        <w:t>одномандатный избирательный округ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№ 154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на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>территории города Таганрога (восточная)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 Ростовской области</w:t>
      </w:r>
      <w:r>
        <w:rPr>
          <w:b w:val="1"/>
          <w:sz w:val="28"/>
        </w:rPr>
        <w:t xml:space="preserve"> </w:t>
      </w:r>
    </w:p>
    <w:p w14:paraId="11000000">
      <w:pPr>
        <w:pStyle w:val="Style_5"/>
        <w:widowControl w:val="1"/>
        <w:tabs>
          <w:tab w:leader="none" w:pos="8222" w:val="left"/>
        </w:tabs>
        <w:spacing w:after="0" w:line="240" w:lineRule="auto"/>
        <w:ind w:left="2268" w:right="1473"/>
        <w:jc w:val="both"/>
        <w:rPr>
          <w:b w:val="1"/>
        </w:rPr>
      </w:pPr>
    </w:p>
    <w:p w14:paraId="12000000">
      <w:pPr>
        <w:widowControl w:val="1"/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данных пе</w:t>
      </w:r>
      <w:r>
        <w:rPr>
          <w:sz w:val="28"/>
        </w:rPr>
        <w:t>р</w:t>
      </w:r>
      <w:r>
        <w:rPr>
          <w:sz w:val="28"/>
        </w:rPr>
        <w:t>вых экземпляров протоколов</w:t>
      </w:r>
      <w:r>
        <w:rPr>
          <w:sz w:val="28"/>
        </w:rPr>
        <w:t xml:space="preserve"> № 1</w:t>
      </w:r>
      <w:r>
        <w:rPr>
          <w:sz w:val="28"/>
        </w:rPr>
        <w:t xml:space="preserve">  участковых избирательных комиссий</w:t>
      </w:r>
      <w:r>
        <w:rPr>
          <w:sz w:val="28"/>
        </w:rPr>
        <w:t xml:space="preserve"> избирательных участков</w:t>
      </w:r>
      <w:r>
        <w:rPr>
          <w:sz w:val="28"/>
        </w:rPr>
        <w:t>, участков референдума №№</w:t>
      </w:r>
      <w:r>
        <w:t xml:space="preserve"> </w:t>
      </w:r>
      <w:r>
        <w:t>2148-</w:t>
      </w:r>
      <w:r>
        <w:t xml:space="preserve"> 2214, 2623</w:t>
      </w:r>
      <w:r>
        <w:rPr>
          <w:sz w:val="28"/>
        </w:rPr>
        <w:t xml:space="preserve"> </w:t>
      </w:r>
      <w:r>
        <w:rPr>
          <w:sz w:val="28"/>
        </w:rPr>
        <w:t xml:space="preserve"> об итогах голосования </w:t>
      </w:r>
      <w:r>
        <w:rPr>
          <w:sz w:val="28"/>
        </w:rPr>
        <w:t>по одномандатному избирательному округу Ростовская обла</w:t>
      </w:r>
      <w:r>
        <w:rPr>
          <w:sz w:val="28"/>
        </w:rPr>
        <w:t xml:space="preserve">сть - </w:t>
      </w:r>
      <w:r>
        <w:rPr>
          <w:b w:val="0"/>
          <w:sz w:val="28"/>
        </w:rPr>
        <w:t>Неклиновский</w:t>
      </w:r>
      <w:r>
        <w:rPr>
          <w:sz w:val="28"/>
        </w:rPr>
        <w:t xml:space="preserve"> одномандатный избирательный округ №</w:t>
      </w:r>
      <w:r>
        <w:rPr>
          <w:sz w:val="28"/>
        </w:rPr>
        <w:t xml:space="preserve"> 154</w:t>
      </w:r>
      <w:r>
        <w:rPr>
          <w:sz w:val="28"/>
        </w:rPr>
        <w:t xml:space="preserve">, </w:t>
      </w:r>
      <w:r>
        <w:rPr>
          <w:sz w:val="28"/>
        </w:rPr>
        <w:t>Т</w:t>
      </w:r>
      <w:r>
        <w:rPr>
          <w:sz w:val="28"/>
        </w:rPr>
        <w:t>ерриториальная избирательная комиссия города Таганрога (восточная)</w:t>
      </w:r>
      <w:r>
        <w:rPr>
          <w:sz w:val="28"/>
        </w:rPr>
        <w:t xml:space="preserve"> Ростовской</w:t>
      </w:r>
      <w:r>
        <w:rPr>
          <w:sz w:val="28"/>
        </w:rPr>
        <w:t xml:space="preserve"> области</w:t>
      </w:r>
      <w:r>
        <w:rPr>
          <w:sz w:val="28"/>
        </w:rPr>
        <w:t xml:space="preserve">  установила, что в выборах депутатов Государственной Думы Федерального Соб</w:t>
      </w:r>
      <w:r>
        <w:rPr>
          <w:sz w:val="28"/>
        </w:rPr>
        <w:t xml:space="preserve">рания Российской Федерации </w:t>
      </w:r>
      <w:r>
        <w:rPr>
          <w:sz w:val="28"/>
        </w:rPr>
        <w:t xml:space="preserve">девятого созыва </w:t>
      </w:r>
      <w:r>
        <w:rPr>
          <w:sz w:val="28"/>
        </w:rPr>
        <w:t>по одн</w:t>
      </w:r>
      <w:r>
        <w:rPr>
          <w:sz w:val="28"/>
        </w:rPr>
        <w:t>оманда</w:t>
      </w:r>
      <w:r>
        <w:rPr>
          <w:sz w:val="28"/>
        </w:rPr>
        <w:t xml:space="preserve">тному избирательному округу Ростовская область - </w:t>
      </w:r>
      <w:r>
        <w:rPr>
          <w:b w:val="0"/>
          <w:sz w:val="28"/>
        </w:rPr>
        <w:t>Неклиновский</w:t>
      </w:r>
      <w:r>
        <w:rPr>
          <w:sz w:val="28"/>
        </w:rPr>
        <w:t xml:space="preserve"> </w:t>
      </w:r>
      <w:r>
        <w:rPr>
          <w:sz w:val="28"/>
        </w:rPr>
        <w:t xml:space="preserve"> одномандатный </w:t>
      </w:r>
      <w:r>
        <w:rPr>
          <w:sz w:val="28"/>
        </w:rPr>
        <w:t xml:space="preserve">избирательный округ </w:t>
      </w:r>
      <w:r>
        <w:rPr>
          <w:sz w:val="28"/>
        </w:rPr>
        <w:br/>
      </w:r>
      <w:r>
        <w:rPr>
          <w:sz w:val="28"/>
        </w:rPr>
        <w:t xml:space="preserve">№ 154 </w:t>
      </w:r>
      <w:r>
        <w:rPr>
          <w:sz w:val="28"/>
        </w:rPr>
        <w:t>на территории города Таганрога (восточная)</w:t>
      </w:r>
      <w:r>
        <w:rPr>
          <w:sz w:val="28"/>
        </w:rPr>
        <w:t xml:space="preserve">  Ростовской области</w:t>
      </w:r>
      <w:r>
        <w:rPr>
          <w:sz w:val="28"/>
        </w:rPr>
        <w:t xml:space="preserve"> приняло </w:t>
      </w:r>
      <w:r>
        <w:rPr>
          <w:sz w:val="28"/>
        </w:rPr>
        <w:t>участие 53 161</w:t>
      </w:r>
      <w:r>
        <w:rPr>
          <w:color w:val="FF0000"/>
          <w:sz w:val="28"/>
        </w:rPr>
        <w:t xml:space="preserve"> </w:t>
      </w:r>
      <w:r>
        <w:rPr>
          <w:color w:val="000000"/>
          <w:sz w:val="28"/>
        </w:rPr>
        <w:t xml:space="preserve"> (пятьдесят три тысячи сто шестьдесят один</w:t>
      </w:r>
      <w:r>
        <w:rPr>
          <w:color w:val="000000"/>
          <w:sz w:val="28"/>
        </w:rPr>
        <w:t>)</w:t>
      </w:r>
      <w:r>
        <w:rPr>
          <w:color w:val="000000"/>
          <w:sz w:val="28"/>
        </w:rPr>
        <w:t xml:space="preserve"> избиратель</w:t>
      </w:r>
      <w:r>
        <w:rPr>
          <w:color w:val="000000"/>
          <w:sz w:val="28"/>
        </w:rPr>
        <w:t>,</w:t>
      </w:r>
      <w:r>
        <w:rPr>
          <w:sz w:val="28"/>
        </w:rPr>
        <w:t xml:space="preserve"> внесенный в сп</w:t>
      </w:r>
      <w:r>
        <w:rPr>
          <w:sz w:val="28"/>
        </w:rPr>
        <w:t>исок изби</w:t>
      </w:r>
      <w:r>
        <w:rPr>
          <w:sz w:val="28"/>
        </w:rPr>
        <w:t>рателей на момент окончания голосования.</w:t>
      </w:r>
    </w:p>
    <w:p w14:paraId="13000000">
      <w:pPr>
        <w:widowControl w:val="1"/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Голоса</w:t>
      </w:r>
      <w:r>
        <w:rPr>
          <w:sz w:val="28"/>
        </w:rPr>
        <w:t xml:space="preserve"> </w:t>
      </w:r>
      <w:r>
        <w:rPr>
          <w:sz w:val="28"/>
        </w:rPr>
        <w:t xml:space="preserve">избирателей </w:t>
      </w:r>
      <w:r>
        <w:rPr>
          <w:sz w:val="28"/>
        </w:rPr>
        <w:t>распределились</w:t>
      </w:r>
      <w:r>
        <w:rPr>
          <w:sz w:val="28"/>
        </w:rPr>
        <w:t xml:space="preserve"> следующим образом:</w:t>
      </w:r>
    </w:p>
    <w:p w14:paraId="14000000">
      <w:pPr>
        <w:widowControl w:val="1"/>
        <w:spacing w:line="276" w:lineRule="auto"/>
        <w:ind/>
        <w:jc w:val="both"/>
        <w:rPr>
          <w:sz w:val="28"/>
        </w:rPr>
      </w:pPr>
    </w:p>
    <w:tbl>
      <w:tblPr>
        <w:tblStyle w:val="Style_6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211"/>
        <w:gridCol w:w="1547"/>
        <w:gridCol w:w="3379"/>
      </w:tblGrid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5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 xml:space="preserve"> Величко Артем Николаевич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6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022438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7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8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 xml:space="preserve"> </w:t>
            </w:r>
            <w:r>
              <w:t>Мирошников Виталий Михайлович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9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004716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A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B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 xml:space="preserve"> </w:t>
            </w:r>
            <w:r>
              <w:t>Павленко Татьяна Эдуардовна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C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003370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D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E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Фомин Виталий Анатольевич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1F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003958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0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1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Хижняк Евгений Анатольевич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006971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Шаляев Алексей Викторович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002406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  <w:tr>
        <w:tc>
          <w:tcPr>
            <w:tcW w:type="dxa" w:w="521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t>Шаповалов Сергей Александрович</w:t>
            </w:r>
          </w:p>
        </w:tc>
        <w:tc>
          <w:tcPr>
            <w:tcW w:type="dxa" w:w="1547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008333</w:t>
            </w:r>
          </w:p>
        </w:tc>
        <w:tc>
          <w:tcPr>
            <w:tcW w:type="dxa" w:w="3379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widowControl w:val="1"/>
              <w:spacing w:line="276" w:lineRule="auto"/>
              <w:ind/>
              <w:jc w:val="both"/>
              <w:rPr>
                <w:sz w:val="28"/>
              </w:rPr>
            </w:pPr>
            <w:r>
              <w:rPr>
                <w:sz w:val="28"/>
              </w:rPr>
              <w:t>голосов</w:t>
            </w:r>
          </w:p>
        </w:tc>
      </w:tr>
    </w:tbl>
    <w:p w14:paraId="2A000000">
      <w:pPr>
        <w:widowControl w:val="1"/>
        <w:spacing w:line="276" w:lineRule="auto"/>
        <w:ind/>
        <w:jc w:val="both"/>
        <w:rPr>
          <w:sz w:val="28"/>
        </w:rPr>
      </w:pPr>
    </w:p>
    <w:p w14:paraId="2B000000">
      <w:pPr>
        <w:widowControl w:val="1"/>
        <w:spacing w:line="276" w:lineRule="auto"/>
        <w:ind/>
        <w:jc w:val="both"/>
        <w:rPr>
          <w:sz w:val="28"/>
        </w:rPr>
      </w:pPr>
    </w:p>
    <w:p w14:paraId="2C000000">
      <w:pPr>
        <w:widowControl w:val="1"/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На основании </w:t>
      </w:r>
      <w:r>
        <w:rPr>
          <w:sz w:val="28"/>
        </w:rPr>
        <w:t>положени</w:t>
      </w:r>
      <w:r>
        <w:rPr>
          <w:sz w:val="28"/>
        </w:rPr>
        <w:t>й</w:t>
      </w:r>
      <w:r>
        <w:rPr>
          <w:sz w:val="28"/>
        </w:rPr>
        <w:t xml:space="preserve"> ст</w:t>
      </w:r>
      <w:r>
        <w:rPr>
          <w:sz w:val="28"/>
        </w:rPr>
        <w:t>атьи</w:t>
      </w:r>
      <w:r>
        <w:rPr>
          <w:sz w:val="28"/>
        </w:rPr>
        <w:t xml:space="preserve"> 30</w:t>
      </w:r>
      <w:r>
        <w:rPr>
          <w:sz w:val="28"/>
        </w:rPr>
        <w:t xml:space="preserve"> и</w:t>
      </w:r>
      <w:r>
        <w:rPr>
          <w:sz w:val="28"/>
        </w:rPr>
        <w:t xml:space="preserve"> ст</w:t>
      </w:r>
      <w:r>
        <w:rPr>
          <w:sz w:val="28"/>
        </w:rPr>
        <w:t>атьи</w:t>
      </w:r>
      <w:r>
        <w:rPr>
          <w:sz w:val="28"/>
        </w:rPr>
        <w:t xml:space="preserve"> 86</w:t>
      </w:r>
      <w:r>
        <w:rPr>
          <w:sz w:val="28"/>
        </w:rPr>
        <w:t xml:space="preserve"> </w:t>
      </w:r>
      <w:r>
        <w:rPr>
          <w:sz w:val="28"/>
        </w:rPr>
        <w:t xml:space="preserve">Федерального закона                            от 22.02.2014 № 20-ФЗ «О выборах депутатов Государственной Думы Федерального Собрания Российской Федерации» </w:t>
      </w:r>
      <w:r>
        <w:rPr>
          <w:sz w:val="28"/>
        </w:rPr>
        <w:t>Территориальная избирательная комиссия города Таганрога (восточная)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>Ростовской области</w:t>
      </w:r>
      <w:r>
        <w:rPr>
          <w:sz w:val="28"/>
        </w:rPr>
        <w:t xml:space="preserve"> </w:t>
      </w:r>
    </w:p>
    <w:p w14:paraId="2D000000">
      <w:pPr>
        <w:widowControl w:val="1"/>
        <w:spacing w:line="276" w:lineRule="auto"/>
        <w:ind w:firstLine="708"/>
        <w:jc w:val="center"/>
        <w:rPr>
          <w:sz w:val="28"/>
        </w:rPr>
      </w:pPr>
      <w:r>
        <w:rPr>
          <w:sz w:val="28"/>
        </w:rPr>
        <w:br/>
      </w:r>
      <w:r>
        <w:rPr>
          <w:sz w:val="28"/>
        </w:rPr>
        <w:t>ПОСТАНОВЛЯЕТ:</w:t>
      </w:r>
    </w:p>
    <w:p w14:paraId="2E000000">
      <w:pPr>
        <w:widowControl w:val="1"/>
        <w:spacing w:line="276" w:lineRule="auto"/>
        <w:ind/>
        <w:jc w:val="center"/>
        <w:rPr>
          <w:sz w:val="28"/>
        </w:rPr>
      </w:pPr>
    </w:p>
    <w:p w14:paraId="2F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>У</w:t>
      </w:r>
      <w:r>
        <w:rPr>
          <w:sz w:val="28"/>
        </w:rPr>
        <w:t xml:space="preserve">твердить протокол </w:t>
      </w:r>
      <w:r>
        <w:rPr>
          <w:sz w:val="28"/>
        </w:rPr>
        <w:t xml:space="preserve">№ 1 </w:t>
      </w:r>
      <w:r>
        <w:rPr>
          <w:sz w:val="28"/>
        </w:rPr>
        <w:t>и сводную таблицу</w:t>
      </w:r>
      <w:r>
        <w:rPr>
          <w:sz w:val="28"/>
        </w:rPr>
        <w:t xml:space="preserve"> № 1</w:t>
      </w:r>
      <w:r>
        <w:rPr>
          <w:sz w:val="28"/>
        </w:rPr>
        <w:t xml:space="preserve"> </w:t>
      </w:r>
      <w:r>
        <w:rPr>
          <w:sz w:val="28"/>
        </w:rP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 xml:space="preserve"> города Таганрога (восточная)</w:t>
      </w:r>
      <w:r>
        <w:rPr>
          <w:sz w:val="28"/>
        </w:rPr>
        <w:t xml:space="preserve"> </w:t>
      </w:r>
      <w:r>
        <w:rPr>
          <w:sz w:val="28"/>
        </w:rPr>
        <w:t xml:space="preserve">Ростовской области </w:t>
      </w:r>
      <w:r>
        <w:rPr>
          <w:sz w:val="28"/>
        </w:rPr>
        <w:t xml:space="preserve">об итогах голосования </w:t>
      </w:r>
      <w:r>
        <w:rPr>
          <w:sz w:val="28"/>
        </w:rPr>
        <w:t>на выборах депутатов Государственной Думы Федерального Собрания Российской Федерации девятого со</w:t>
      </w:r>
      <w:r>
        <w:rPr>
          <w:sz w:val="28"/>
        </w:rPr>
        <w:t>зыва</w:t>
      </w:r>
      <w:r>
        <w:rPr>
          <w:sz w:val="28"/>
        </w:rPr>
        <w:t xml:space="preserve"> по одномандат</w:t>
      </w:r>
      <w:r>
        <w:rPr>
          <w:sz w:val="28"/>
        </w:rPr>
        <w:t>ному избирательному округу Ростовская область -</w:t>
      </w:r>
      <w:r>
        <w:rPr>
          <w:b w:val="0"/>
          <w:sz w:val="28"/>
        </w:rPr>
        <w:t xml:space="preserve">Неклиновский </w:t>
      </w:r>
      <w:r>
        <w:rPr>
          <w:sz w:val="28"/>
        </w:rPr>
        <w:t xml:space="preserve">одномандатный избирательный округ № 154 </w:t>
      </w:r>
      <w:r>
        <w:rPr>
          <w:sz w:val="28"/>
        </w:rPr>
        <w:t>.</w:t>
      </w:r>
    </w:p>
    <w:p w14:paraId="30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Признать выборы депутатов Государственной Думы Федерального Собрания Российской Федерации </w:t>
      </w:r>
      <w:r>
        <w:rPr>
          <w:sz w:val="28"/>
        </w:rPr>
        <w:t>девято</w:t>
      </w:r>
      <w:r>
        <w:rPr>
          <w:sz w:val="28"/>
        </w:rPr>
        <w:t>го</w:t>
      </w:r>
      <w:r>
        <w:rPr>
          <w:sz w:val="28"/>
        </w:rPr>
        <w:t xml:space="preserve"> созыва</w:t>
      </w:r>
      <w:r>
        <w:rPr>
          <w:sz w:val="28"/>
        </w:rPr>
        <w:t xml:space="preserve"> </w:t>
      </w:r>
      <w:r>
        <w:rPr>
          <w:sz w:val="28"/>
        </w:rPr>
        <w:t>по одномандатному избирательном</w:t>
      </w:r>
      <w:r>
        <w:rPr>
          <w:sz w:val="28"/>
        </w:rPr>
        <w:t>у округу Ростовска</w:t>
      </w:r>
      <w:r>
        <w:rPr>
          <w:sz w:val="28"/>
        </w:rPr>
        <w:t xml:space="preserve">я область - </w:t>
      </w:r>
      <w:r>
        <w:rPr>
          <w:b w:val="0"/>
          <w:sz w:val="28"/>
        </w:rPr>
        <w:t>Неклиновский</w:t>
      </w:r>
      <w:r>
        <w:rPr>
          <w:sz w:val="28"/>
        </w:rPr>
        <w:t xml:space="preserve"> одномандатный избирательный округ № 154 на территории </w:t>
      </w:r>
      <w:r>
        <w:rPr>
          <w:sz w:val="28"/>
        </w:rPr>
        <w:t>города Таганрога (восточная)</w:t>
      </w:r>
      <w:r>
        <w:rPr>
          <w:sz w:val="28"/>
        </w:rPr>
        <w:t xml:space="preserve">  Ростовской области </w:t>
      </w:r>
      <w:r>
        <w:rPr>
          <w:sz w:val="28"/>
        </w:rPr>
        <w:t>состоявшимис</w:t>
      </w:r>
      <w:r>
        <w:rPr>
          <w:sz w:val="28"/>
        </w:rPr>
        <w:t>я и действительными</w:t>
      </w:r>
      <w:r>
        <w:rPr>
          <w:sz w:val="28"/>
        </w:rPr>
        <w:t>.</w:t>
      </w:r>
    </w:p>
    <w:p w14:paraId="31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Направить </w:t>
      </w:r>
      <w:r>
        <w:rPr>
          <w:sz w:val="28"/>
        </w:rPr>
        <w:t xml:space="preserve">протокол № 1 и сводную таблицу № 1 </w:t>
      </w:r>
      <w:r>
        <w:rPr>
          <w:sz w:val="28"/>
        </w:rPr>
        <w:t>Территориаль</w:t>
      </w:r>
      <w:r>
        <w:rPr>
          <w:sz w:val="28"/>
        </w:rPr>
        <w:t xml:space="preserve">ной избирательной комиссии </w:t>
      </w:r>
      <w:r>
        <w:rPr>
          <w:sz w:val="28"/>
        </w:rPr>
        <w:t>города Таганрога (восточная)</w:t>
      </w:r>
      <w:r>
        <w:rPr>
          <w:sz w:val="28"/>
        </w:rPr>
        <w:t xml:space="preserve"> Ростовской области</w:t>
      </w:r>
      <w:r>
        <w:rPr>
          <w:sz w:val="28"/>
        </w:rPr>
        <w:t xml:space="preserve"> </w:t>
      </w:r>
      <w:r>
        <w:rPr>
          <w:sz w:val="28"/>
        </w:rPr>
        <w:t xml:space="preserve">об итогах голосования </w:t>
      </w:r>
      <w:r>
        <w:rPr>
          <w:sz w:val="28"/>
        </w:rPr>
        <w:t xml:space="preserve">в </w:t>
      </w:r>
      <w:r>
        <w:rPr>
          <w:sz w:val="28"/>
        </w:rPr>
        <w:t>окружную избирательную</w:t>
      </w:r>
      <w:r>
        <w:rPr>
          <w:sz w:val="28"/>
        </w:rPr>
        <w:t xml:space="preserve"> комиссию</w:t>
      </w:r>
      <w:r>
        <w:rPr>
          <w:sz w:val="28"/>
        </w:rPr>
        <w:t>.</w:t>
      </w:r>
    </w:p>
    <w:p w14:paraId="32000000">
      <w:pPr>
        <w:widowControl w:val="1"/>
        <w:numPr>
          <w:ilvl w:val="0"/>
          <w:numId w:val="1"/>
        </w:numPr>
        <w:tabs>
          <w:tab w:leader="none" w:pos="0" w:val="left"/>
          <w:tab w:leader="none" w:pos="1080" w:val="left"/>
          <w:tab w:leader="none" w:pos="3240" w:val="clear"/>
        </w:tabs>
        <w:spacing w:line="276" w:lineRule="auto"/>
        <w:ind w:firstLine="720" w:left="0"/>
        <w:jc w:val="both"/>
        <w:rPr>
          <w:sz w:val="28"/>
        </w:rPr>
      </w:pPr>
      <w:r>
        <w:rPr>
          <w:sz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</w:rPr>
        <w:t xml:space="preserve">ерриториальной избирательной комиссии </w:t>
      </w:r>
      <w:r>
        <w:rPr>
          <w:sz w:val="28"/>
        </w:rPr>
        <w:t>города Таганрога (восточная)</w:t>
      </w:r>
      <w:r>
        <w:rPr>
          <w:sz w:val="28"/>
        </w:rPr>
        <w:t xml:space="preserve"> Ростовской</w:t>
      </w:r>
      <w:r>
        <w:rPr>
          <w:sz w:val="28"/>
        </w:rPr>
        <w:t xml:space="preserve"> </w:t>
      </w:r>
      <w:r>
        <w:rPr>
          <w:sz w:val="28"/>
        </w:rPr>
        <w:t xml:space="preserve">области </w:t>
      </w:r>
      <w:r>
        <w:rPr>
          <w:sz w:val="28"/>
        </w:rPr>
        <w:t>В.Г. Ерасова.</w:t>
      </w:r>
    </w:p>
    <w:p w14:paraId="33000000">
      <w:pPr>
        <w:widowControl w:val="1"/>
        <w:spacing w:line="240" w:lineRule="auto"/>
        <w:ind w:firstLine="426" w:right="-6"/>
        <w:jc w:val="both"/>
        <w:rPr>
          <w:b w:val="1"/>
          <w:sz w:val="28"/>
        </w:rPr>
      </w:pPr>
    </w:p>
    <w:tbl>
      <w:tblPr>
        <w:tblStyle w:val="Style_6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4068"/>
        <w:gridCol w:w="2700"/>
        <w:gridCol w:w="3405"/>
      </w:tblGrid>
      <w:tr>
        <w:trPr>
          <w:trHeight w:hRule="atLeast" w:val="1171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rPr>
                <w:rFonts w:ascii="Times New Roman CYR" w:hAnsi="Times New Roman CYR"/>
                <w:sz w:val="28"/>
              </w:rPr>
            </w:pPr>
          </w:p>
          <w:p w14:paraId="35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>Пред</w:t>
            </w:r>
            <w:r>
              <w:rPr>
                <w:rFonts w:ascii="Times New Roman CYR" w:hAnsi="Times New Roman CYR"/>
                <w:sz w:val="28"/>
              </w:rPr>
              <w:t>седатель</w:t>
            </w:r>
            <w:r>
              <w:rPr>
                <w:rFonts w:ascii="Times New Roman CYR" w:hAnsi="Times New Roman CYR"/>
                <w:sz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</w:rPr>
              <w:t xml:space="preserve">комиссии </w:t>
            </w: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7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8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</w:p>
          <w:p w14:paraId="3A000000">
            <w:pPr>
              <w:widowControl w:val="1"/>
              <w:ind w:firstLine="391" w:left="-391"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 В.Г. Ерасов</w:t>
            </w:r>
          </w:p>
        </w:tc>
      </w:tr>
      <w:tr>
        <w:trPr>
          <w:trHeight w:hRule="atLeast" w:val="864"/>
        </w:trPr>
        <w:tc>
          <w:tcPr>
            <w:tcW w:type="dxa" w:w="4068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rPr>
                <w:rFonts w:ascii="Times New Roman CYR" w:hAnsi="Times New Roman CYR"/>
                <w:sz w:val="28"/>
              </w:rPr>
            </w:pPr>
          </w:p>
          <w:p w14:paraId="3C000000">
            <w:pPr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Секретарь комиссии </w:t>
            </w:r>
          </w:p>
          <w:p w14:paraId="3D000000">
            <w:pPr>
              <w:widowControl w:val="1"/>
              <w:tabs>
                <w:tab w:leader="none" w:pos="3915" w:val="left"/>
              </w:tabs>
              <w:ind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type="dxa" w:w="270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3F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40000000">
            <w:pPr>
              <w:widowControl w:val="1"/>
              <w:ind/>
              <w:jc w:val="center"/>
              <w:rPr>
                <w:rFonts w:ascii="Times New Roman CYR" w:hAnsi="Times New Roman CYR"/>
              </w:rPr>
            </w:pPr>
          </w:p>
        </w:tc>
        <w:tc>
          <w:tcPr>
            <w:tcW w:type="dxa" w:w="3405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</w:p>
          <w:p w14:paraId="42000000">
            <w:pPr>
              <w:widowControl w:val="1"/>
              <w:ind/>
              <w:jc w:val="center"/>
              <w:rPr>
                <w:rFonts w:ascii="Times New Roman CYR" w:hAnsi="Times New Roman CYR"/>
                <w:sz w:val="28"/>
              </w:rPr>
            </w:pPr>
            <w:r>
              <w:rPr>
                <w:rFonts w:ascii="Times New Roman CYR" w:hAnsi="Times New Roman CYR"/>
                <w:sz w:val="28"/>
              </w:rPr>
              <w:t xml:space="preserve">   </w:t>
            </w:r>
            <w:r>
              <w:rPr>
                <w:rFonts w:ascii="Times New Roman CYR" w:hAnsi="Times New Roman CYR"/>
                <w:sz w:val="28"/>
              </w:rPr>
              <w:t xml:space="preserve">    </w:t>
            </w:r>
            <w:r>
              <w:rPr>
                <w:rFonts w:ascii="Times New Roman CYR" w:hAnsi="Times New Roman CYR"/>
                <w:sz w:val="28"/>
              </w:rPr>
              <w:t xml:space="preserve"> </w:t>
            </w:r>
            <w:r>
              <w:rPr>
                <w:rFonts w:ascii="Times New Roman CYR" w:hAnsi="Times New Roman CYR"/>
                <w:sz w:val="28"/>
              </w:rPr>
              <w:t>Ю.В. Романенко</w:t>
            </w:r>
          </w:p>
        </w:tc>
      </w:tr>
    </w:tbl>
    <w:p w14:paraId="43000000">
      <w:pPr>
        <w:widowControl w:val="1"/>
        <w:ind w:right="-1"/>
        <w:jc w:val="center"/>
        <w:rPr>
          <w:sz w:val="28"/>
        </w:rPr>
      </w:pPr>
    </w:p>
    <w:p w14:paraId="44000000">
      <w:pPr>
        <w:widowControl w:val="1"/>
        <w:ind w:right="-1"/>
        <w:jc w:val="center"/>
        <w:rPr>
          <w:sz w:val="28"/>
        </w:rPr>
      </w:pPr>
    </w:p>
    <w:p w14:paraId="45000000">
      <w:pPr>
        <w:widowControl w:val="1"/>
        <w:ind w:right="-1"/>
        <w:jc w:val="center"/>
        <w:rPr>
          <w:sz w:val="28"/>
        </w:rPr>
      </w:pPr>
    </w:p>
    <w:p w14:paraId="46000000">
      <w:pPr>
        <w:pStyle w:val="Style_5"/>
        <w:widowControl w:val="1"/>
        <w:tabs>
          <w:tab w:leader="none" w:pos="8222" w:val="left"/>
        </w:tabs>
        <w:spacing w:after="0" w:line="240" w:lineRule="auto"/>
        <w:ind w:left="2268" w:right="1473"/>
        <w:jc w:val="both"/>
        <w:rPr>
          <w:b w:val="1"/>
        </w:rPr>
      </w:pPr>
    </w:p>
    <w:sectPr>
      <w:headerReference r:id="rId2" w:type="default"/>
      <w:headerReference r:id="rId1" w:type="even"/>
      <w:pgSz w:h="16840" w:orient="portrait" w:w="11907"/>
      <w:pgMar w:bottom="993" w:footer="1134" w:gutter="0" w:header="567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 w:right="360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distB="0" distL="0" distR="0" distT="0" layoutInCell="true" locked="false" relativeHeight="251658240" simplePos="fals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0" cy="0"/>
              <wp:wrapSquare distB="0" distL="0" distR="0" distT="0" wrapText="bothSides"/>
              <wp:docPr hidden="false" id="1" name="Picture 1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000000">
                          <w:pPr>
                            <w:pStyle w:val="Style_1"/>
                            <w:widowControl w:val="1"/>
                            <w:pBdr>
                              <w:top w:sz="4" w:val="nil"/>
                              <w:left w:sz="4" w:val="nil"/>
                              <w:bottom w:sz="4" w:val="nil"/>
                              <w:right w:sz="4" w:val="nil"/>
                              <w:between w:sz="4" w:val="nil"/>
                            </w:pBdr>
                            <w:ind/>
                            <w:jc w:val="left"/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</w:pP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begin"/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instrText xml:space="preserve">PAGE </w:instrText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separate"/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t xml:space="preserve"> </w:t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bIns="0" lIns="0" rIns="0" tIns="0" vert="horz"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1"/>
      <w:widowControl w:val="1"/>
      <w:ind w:right="360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1"/>
        <w:tabs>
          <w:tab w:leader="none" w:pos="3240" w:val="left"/>
        </w:tabs>
        <w:ind w:hanging="360" w:left="3240"/>
      </w:pPr>
      <w:rPr>
        <w:color w:val="000000"/>
      </w:rPr>
    </w:lvl>
    <w:lvl w:ilvl="1">
      <w:start w:val="1"/>
      <w:numFmt w:val="bullet"/>
      <w:lvlText w:val=""/>
      <w:lvlJc w:val="left"/>
      <w:pPr>
        <w:widowControl w:val="1"/>
        <w:tabs>
          <w:tab w:leader="none" w:pos="1800" w:val="left"/>
        </w:tabs>
        <w:ind w:hanging="360" w:left="1800"/>
      </w:pPr>
      <w:rPr>
        <w:rFonts w:ascii="Symbol" w:hAnsi="Symbol"/>
        <w:color w:val="000000"/>
      </w:rPr>
    </w:lvl>
    <w:lvl w:ilvl="2">
      <w:start w:val="1"/>
      <w:numFmt w:val="decimal"/>
      <w:lvlText w:val="%3."/>
      <w:lvlJc w:val="left"/>
      <w:pPr>
        <w:widowControl w:val="1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1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1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1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1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1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1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rPr>
      <w:sz w:val="28"/>
    </w:rPr>
  </w:style>
  <w:style w:default="1" w:styleId="Style_7_ch" w:type="character">
    <w:name w:val="Normal"/>
    <w:link w:val="Style_7"/>
    <w:rPr>
      <w:sz w:val="28"/>
    </w:rPr>
  </w:style>
  <w:style w:styleId="Style_8" w:type="paragraph">
    <w:name w:val="toc 2"/>
    <w:next w:val="Style_7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Нижний колонтитул Знак"/>
    <w:link w:val="Style_9_ch"/>
    <w:rPr>
      <w:sz w:val="28"/>
    </w:rPr>
  </w:style>
  <w:style w:styleId="Style_9_ch" w:type="character">
    <w:name w:val="Нижний колонтитул Знак"/>
    <w:link w:val="Style_9"/>
    <w:rPr>
      <w:sz w:val="28"/>
    </w:rPr>
  </w:style>
  <w:style w:styleId="Style_10" w:type="paragraph">
    <w:name w:val="Стиль1"/>
    <w:basedOn w:val="Style_7"/>
    <w:link w:val="Style_10_ch"/>
  </w:style>
  <w:style w:styleId="Style_10_ch" w:type="character">
    <w:name w:val="Стиль1"/>
    <w:basedOn w:val="Style_7_ch"/>
    <w:link w:val="Style_10"/>
  </w:style>
  <w:style w:styleId="Style_11" w:type="paragraph">
    <w:name w:val="toc 4"/>
    <w:next w:val="Style_7"/>
    <w:link w:val="Style_11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11_ch" w:type="character">
    <w:name w:val="toc 4"/>
    <w:link w:val="Style_11"/>
    <w:rPr>
      <w:rFonts w:ascii="XO Thames" w:hAnsi="XO Thames"/>
      <w:sz w:val="28"/>
    </w:rPr>
  </w:style>
  <w:style w:styleId="Style_12" w:type="paragraph">
    <w:name w:val="heading 7"/>
    <w:basedOn w:val="Style_7"/>
    <w:next w:val="Style_7"/>
    <w:link w:val="Style_12_ch"/>
    <w:uiPriority w:val="9"/>
    <w:qFormat/>
    <w:pPr>
      <w:widowControl w:val="1"/>
      <w:spacing w:after="60" w:before="240"/>
      <w:ind/>
      <w:outlineLvl w:val="6"/>
    </w:pPr>
    <w:rPr>
      <w:sz w:val="24"/>
    </w:rPr>
  </w:style>
  <w:style w:styleId="Style_12_ch" w:type="character">
    <w:name w:val="heading 7"/>
    <w:basedOn w:val="Style_7_ch"/>
    <w:link w:val="Style_12"/>
    <w:rPr>
      <w:sz w:val="24"/>
    </w:rPr>
  </w:style>
  <w:style w:styleId="Style_13" w:type="paragraph">
    <w:name w:val="toc 6"/>
    <w:next w:val="Style_7"/>
    <w:link w:val="Style_13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7"/>
    <w:link w:val="Style_14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5" w:type="paragraph">
    <w:name w:val="ConsPlusNonformat"/>
    <w:link w:val="Style_15_ch"/>
    <w:pPr>
      <w:widowControl w:val="0"/>
      <w:ind/>
    </w:pPr>
    <w:rPr>
      <w:rFonts w:ascii="Courier New" w:hAnsi="Courier New"/>
    </w:rPr>
  </w:style>
  <w:style w:styleId="Style_15_ch" w:type="character">
    <w:name w:val="ConsPlusNonformat"/>
    <w:link w:val="Style_15"/>
    <w:rPr>
      <w:rFonts w:ascii="Courier New" w:hAnsi="Courier New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" w:type="paragraph">
    <w:name w:val="header"/>
    <w:basedOn w:val="Style_7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7_ch"/>
    <w:link w:val="Style_1"/>
  </w:style>
  <w:style w:styleId="Style_17" w:type="paragraph">
    <w:name w:val="Endnote"/>
    <w:link w:val="Style_1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Endnote"/>
    <w:link w:val="Style_17"/>
    <w:rPr>
      <w:rFonts w:ascii="XO Thames" w:hAnsi="XO Thames"/>
      <w:sz w:val="22"/>
    </w:rPr>
  </w:style>
  <w:style w:styleId="Style_18" w:type="paragraph">
    <w:name w:val="heading 3"/>
    <w:basedOn w:val="Style_7"/>
    <w:next w:val="Style_7"/>
    <w:link w:val="Style_18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8_ch" w:type="character">
    <w:name w:val="heading 3"/>
    <w:basedOn w:val="Style_7_ch"/>
    <w:link w:val="Style_18"/>
    <w:rPr>
      <w:rFonts w:ascii="Arial" w:hAnsi="Arial"/>
      <w:b w:val="1"/>
      <w:sz w:val="26"/>
    </w:rPr>
  </w:style>
  <w:style w:styleId="Style_19" w:type="paragraph">
    <w:name w:val="ConsPlusNormal"/>
    <w:link w:val="Style_19_ch"/>
    <w:pPr>
      <w:widowControl w:val="0"/>
      <w:ind w:firstLine="720"/>
    </w:pPr>
    <w:rPr>
      <w:rFonts w:ascii="Arial" w:hAnsi="Arial"/>
    </w:rPr>
  </w:style>
  <w:style w:styleId="Style_19_ch" w:type="character">
    <w:name w:val="ConsPlusNormal"/>
    <w:link w:val="Style_19"/>
    <w:rPr>
      <w:rFonts w:ascii="Arial" w:hAnsi="Arial"/>
    </w:rPr>
  </w:style>
  <w:style w:styleId="Style_20" w:type="paragraph">
    <w:name w:val="List Paragraph"/>
    <w:basedOn w:val="Style_7"/>
    <w:link w:val="Style_20_ch"/>
    <w:pPr>
      <w:widowControl w:val="1"/>
      <w:ind w:left="708"/>
    </w:pPr>
  </w:style>
  <w:style w:styleId="Style_20_ch" w:type="character">
    <w:name w:val="List Paragraph"/>
    <w:basedOn w:val="Style_7_ch"/>
    <w:link w:val="Style_20"/>
  </w:style>
  <w:style w:styleId="Style_21" w:type="paragraph">
    <w:name w:val="Body Text Indent 2"/>
    <w:basedOn w:val="Style_7"/>
    <w:link w:val="Style_21_ch"/>
    <w:pPr>
      <w:widowControl w:val="1"/>
      <w:ind w:firstLine="851"/>
    </w:pPr>
  </w:style>
  <w:style w:styleId="Style_21_ch" w:type="character">
    <w:name w:val="Body Text Indent 2"/>
    <w:basedOn w:val="Style_7_ch"/>
    <w:link w:val="Style_21"/>
  </w:style>
  <w:style w:styleId="Style_22" w:type="paragraph">
    <w:name w:val="Body Text"/>
    <w:basedOn w:val="Style_7"/>
    <w:link w:val="Style_22_ch"/>
    <w:pPr>
      <w:widowControl w:val="1"/>
      <w:spacing w:line="360" w:lineRule="auto"/>
      <w:ind/>
      <w:jc w:val="both"/>
    </w:pPr>
  </w:style>
  <w:style w:styleId="Style_22_ch" w:type="character">
    <w:name w:val="Body Text"/>
    <w:basedOn w:val="Style_7_ch"/>
    <w:link w:val="Style_22"/>
  </w:style>
  <w:style w:styleId="Style_23" w:type="paragraph">
    <w:name w:val="toc 3"/>
    <w:next w:val="Style_7"/>
    <w:link w:val="Style_23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3_ch" w:type="character">
    <w:name w:val="toc 3"/>
    <w:link w:val="Style_23"/>
    <w:rPr>
      <w:rFonts w:ascii="XO Thames" w:hAnsi="XO Thames"/>
      <w:sz w:val="28"/>
    </w:rPr>
  </w:style>
  <w:style w:styleId="Style_24" w:type="paragraph">
    <w:name w:val="Balloon Text"/>
    <w:basedOn w:val="Style_7"/>
    <w:link w:val="Style_24_ch"/>
    <w:rPr>
      <w:rFonts w:ascii="Tahoma" w:hAnsi="Tahoma"/>
      <w:sz w:val="16"/>
    </w:rPr>
  </w:style>
  <w:style w:styleId="Style_24_ch" w:type="character">
    <w:name w:val="Balloon Text"/>
    <w:basedOn w:val="Style_7_ch"/>
    <w:link w:val="Style_24"/>
    <w:rPr>
      <w:rFonts w:ascii="Tahoma" w:hAnsi="Tahoma"/>
      <w:sz w:val="16"/>
    </w:rPr>
  </w:style>
  <w:style w:styleId="Style_25" w:type="paragraph">
    <w:name w:val="Block Text"/>
    <w:basedOn w:val="Style_7"/>
    <w:link w:val="Style_25_ch"/>
    <w:pPr>
      <w:widowControl w:val="1"/>
      <w:tabs>
        <w:tab w:leader="none" w:pos="7938" w:val="left"/>
      </w:tabs>
      <w:ind w:left="1710" w:right="1717"/>
      <w:jc w:val="both"/>
    </w:pPr>
    <w:rPr>
      <w:rFonts w:ascii="Times New Roman CYR" w:hAnsi="Times New Roman CYR"/>
      <w:b w:val="1"/>
    </w:rPr>
  </w:style>
  <w:style w:styleId="Style_25_ch" w:type="character">
    <w:name w:val="Block Text"/>
    <w:basedOn w:val="Style_7_ch"/>
    <w:link w:val="Style_25"/>
    <w:rPr>
      <w:rFonts w:ascii="Times New Roman CYR" w:hAnsi="Times New Roman CYR"/>
      <w:b w:val="1"/>
    </w:rPr>
  </w:style>
  <w:style w:styleId="Style_26" w:type="paragraph">
    <w:name w:val="Body Text Indent"/>
    <w:basedOn w:val="Style_7"/>
    <w:link w:val="Style_26_ch"/>
    <w:pPr>
      <w:widowControl w:val="1"/>
      <w:ind w:left="2832"/>
      <w:jc w:val="both"/>
    </w:pPr>
    <w:rPr>
      <w:b w:val="1"/>
    </w:rPr>
  </w:style>
  <w:style w:styleId="Style_26_ch" w:type="character">
    <w:name w:val="Body Text Indent"/>
    <w:basedOn w:val="Style_7_ch"/>
    <w:link w:val="Style_26"/>
    <w:rPr>
      <w:b w:val="1"/>
    </w:rPr>
  </w:style>
  <w:style w:styleId="Style_27" w:type="paragraph">
    <w:name w:val="heading 5"/>
    <w:basedOn w:val="Style_7"/>
    <w:next w:val="Style_7"/>
    <w:link w:val="Style_27_ch"/>
    <w:uiPriority w:val="9"/>
    <w:qFormat/>
    <w:pPr>
      <w:widowControl w:val="1"/>
      <w:spacing w:after="60" w:before="240"/>
      <w:ind/>
      <w:outlineLvl w:val="4"/>
    </w:pPr>
    <w:rPr>
      <w:b w:val="1"/>
      <w:i w:val="1"/>
      <w:sz w:val="26"/>
    </w:rPr>
  </w:style>
  <w:style w:styleId="Style_27_ch" w:type="character">
    <w:name w:val="heading 5"/>
    <w:basedOn w:val="Style_7_ch"/>
    <w:link w:val="Style_27"/>
    <w:rPr>
      <w:b w:val="1"/>
      <w:i w:val="1"/>
      <w:sz w:val="26"/>
    </w:rPr>
  </w:style>
  <w:style w:styleId="Style_28" w:type="paragraph">
    <w:name w:val="Т-1"/>
    <w:basedOn w:val="Style_7"/>
    <w:link w:val="Style_28_ch"/>
    <w:pPr>
      <w:widowControl w:val="1"/>
      <w:spacing w:line="360" w:lineRule="auto"/>
      <w:ind w:firstLine="720"/>
      <w:jc w:val="both"/>
    </w:pPr>
  </w:style>
  <w:style w:styleId="Style_28_ch" w:type="character">
    <w:name w:val="Т-1"/>
    <w:basedOn w:val="Style_7_ch"/>
    <w:link w:val="Style_28"/>
  </w:style>
  <w:style w:styleId="Style_3" w:type="paragraph">
    <w:name w:val="heading 1"/>
    <w:basedOn w:val="Style_7"/>
    <w:next w:val="Style_7"/>
    <w:link w:val="Style_3_ch"/>
    <w:uiPriority w:val="9"/>
    <w:qFormat/>
    <w:pPr>
      <w:keepNext w:val="1"/>
      <w:widowControl w:val="1"/>
      <w:ind/>
      <w:outlineLvl w:val="0"/>
    </w:pPr>
  </w:style>
  <w:style w:styleId="Style_3_ch" w:type="character">
    <w:name w:val="heading 1"/>
    <w:basedOn w:val="Style_7_ch"/>
    <w:link w:val="Style_3"/>
  </w:style>
  <w:style w:styleId="Style_2" w:type="paragraph">
    <w:name w:val="page number"/>
    <w:basedOn w:val="Style_16"/>
    <w:link w:val="Style_2_ch"/>
  </w:style>
  <w:style w:styleId="Style_2_ch" w:type="character">
    <w:name w:val="page number"/>
    <w:basedOn w:val="Style_16_ch"/>
    <w:link w:val="Style_2"/>
  </w:style>
  <w:style w:styleId="Style_29" w:type="paragraph">
    <w:name w:val="Hyperlink"/>
    <w:link w:val="Style_29_ch"/>
    <w:rPr>
      <w:color w:val="0000FF"/>
      <w:u w:val="single"/>
    </w:rPr>
  </w:style>
  <w:style w:styleId="Style_29_ch" w:type="character">
    <w:name w:val="Hyperlink"/>
    <w:link w:val="Style_29"/>
    <w:rPr>
      <w:color w:val="0000FF"/>
      <w:u w:val="single"/>
    </w:rPr>
  </w:style>
  <w:style w:styleId="Style_30" w:type="paragraph">
    <w:name w:val="Footnote"/>
    <w:basedOn w:val="Style_7"/>
    <w:link w:val="Style_30_ch"/>
    <w:rPr>
      <w:rFonts w:ascii="Arial" w:hAnsi="Arial"/>
      <w:sz w:val="24"/>
    </w:rPr>
  </w:style>
  <w:style w:styleId="Style_30_ch" w:type="character">
    <w:name w:val="Footnote"/>
    <w:basedOn w:val="Style_7_ch"/>
    <w:link w:val="Style_30"/>
    <w:rPr>
      <w:rFonts w:ascii="Arial" w:hAnsi="Arial"/>
      <w:sz w:val="24"/>
    </w:rPr>
  </w:style>
  <w:style w:styleId="Style_31" w:type="paragraph">
    <w:name w:val="toc 1"/>
    <w:next w:val="Style_7"/>
    <w:link w:val="Style_31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31_ch" w:type="character">
    <w:name w:val="toc 1"/>
    <w:link w:val="Style_31"/>
    <w:rPr>
      <w:rFonts w:ascii="XO Thames" w:hAnsi="XO Thames"/>
      <w:b w:val="1"/>
      <w:sz w:val="28"/>
    </w:rPr>
  </w:style>
  <w:style w:styleId="Style_32" w:type="paragraph">
    <w:name w:val="footer"/>
    <w:basedOn w:val="Style_7"/>
    <w:link w:val="Style_32_ch"/>
    <w:pPr>
      <w:widowControl w:val="1"/>
      <w:tabs>
        <w:tab w:leader="none" w:pos="4677" w:val="center"/>
        <w:tab w:leader="none" w:pos="9355" w:val="right"/>
      </w:tabs>
      <w:ind/>
    </w:pPr>
  </w:style>
  <w:style w:styleId="Style_32_ch" w:type="character">
    <w:name w:val="footer"/>
    <w:basedOn w:val="Style_7_ch"/>
    <w:link w:val="Style_32"/>
  </w:style>
  <w:style w:styleId="Style_33" w:type="paragraph">
    <w:name w:val="Header and Footer"/>
    <w:link w:val="Style_3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33_ch" w:type="character">
    <w:name w:val="Header and Footer"/>
    <w:link w:val="Style_33"/>
    <w:rPr>
      <w:rFonts w:ascii="XO Thames" w:hAnsi="XO Thames"/>
      <w:sz w:val="28"/>
    </w:rPr>
  </w:style>
  <w:style w:styleId="Style_5" w:type="paragraph">
    <w:name w:val="Body Text 2"/>
    <w:basedOn w:val="Style_7"/>
    <w:link w:val="Style_5_ch"/>
    <w:pPr>
      <w:widowControl w:val="1"/>
      <w:spacing w:after="120" w:line="480" w:lineRule="auto"/>
      <w:ind/>
    </w:pPr>
  </w:style>
  <w:style w:styleId="Style_5_ch" w:type="character">
    <w:name w:val="Body Text 2"/>
    <w:basedOn w:val="Style_7_ch"/>
    <w:link w:val="Style_5"/>
  </w:style>
  <w:style w:styleId="Style_34" w:type="paragraph">
    <w:name w:val="toc 9"/>
    <w:next w:val="Style_7"/>
    <w:link w:val="Style_3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34_ch" w:type="character">
    <w:name w:val="toc 9"/>
    <w:link w:val="Style_34"/>
    <w:rPr>
      <w:rFonts w:ascii="XO Thames" w:hAnsi="XO Thames"/>
      <w:sz w:val="28"/>
    </w:rPr>
  </w:style>
  <w:style w:styleId="Style_35" w:type="paragraph">
    <w:name w:val="toc 8"/>
    <w:next w:val="Style_7"/>
    <w:link w:val="Style_35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5_ch" w:type="character">
    <w:name w:val="toc 8"/>
    <w:link w:val="Style_35"/>
    <w:rPr>
      <w:rFonts w:ascii="XO Thames" w:hAnsi="XO Thames"/>
      <w:sz w:val="28"/>
    </w:rPr>
  </w:style>
  <w:style w:styleId="Style_36" w:type="paragraph">
    <w:name w:val="Заголовочек 1"/>
    <w:basedOn w:val="Style_7"/>
    <w:link w:val="Style_36_ch"/>
    <w:pPr>
      <w:widowControl w:val="1"/>
      <w:spacing w:line="360" w:lineRule="auto"/>
      <w:ind/>
      <w:jc w:val="center"/>
    </w:pPr>
    <w:rPr>
      <w:b w:val="1"/>
      <w:smallCaps w:val="1"/>
      <w:spacing w:val="60"/>
    </w:rPr>
  </w:style>
  <w:style w:styleId="Style_36_ch" w:type="character">
    <w:name w:val="Заголовочек 1"/>
    <w:basedOn w:val="Style_7_ch"/>
    <w:link w:val="Style_36"/>
    <w:rPr>
      <w:b w:val="1"/>
      <w:smallCaps w:val="1"/>
      <w:spacing w:val="60"/>
    </w:rPr>
  </w:style>
  <w:style w:styleId="Style_37" w:type="paragraph">
    <w:name w:val="ConsNonformat"/>
    <w:link w:val="Style_37_ch"/>
    <w:pPr>
      <w:widowControl w:val="0"/>
      <w:ind/>
    </w:pPr>
    <w:rPr>
      <w:rFonts w:ascii="Courier New" w:hAnsi="Courier New"/>
    </w:rPr>
  </w:style>
  <w:style w:styleId="Style_37_ch" w:type="character">
    <w:name w:val="ConsNonformat"/>
    <w:link w:val="Style_37"/>
    <w:rPr>
      <w:rFonts w:ascii="Courier New" w:hAnsi="Courier New"/>
    </w:rPr>
  </w:style>
  <w:style w:styleId="Style_38" w:type="paragraph">
    <w:name w:val="No Spacing"/>
    <w:link w:val="Style_38_ch"/>
    <w:rPr>
      <w:rFonts w:ascii="Calibri" w:hAnsi="Calibri"/>
      <w:sz w:val="22"/>
    </w:rPr>
  </w:style>
  <w:style w:styleId="Style_38_ch" w:type="character">
    <w:name w:val="No Spacing"/>
    <w:link w:val="Style_38"/>
    <w:rPr>
      <w:rFonts w:ascii="Calibri" w:hAnsi="Calibri"/>
      <w:sz w:val="22"/>
    </w:rPr>
  </w:style>
  <w:style w:styleId="Style_39" w:type="paragraph">
    <w:name w:val="Body Text 3"/>
    <w:basedOn w:val="Style_7"/>
    <w:link w:val="Style_39_ch"/>
    <w:pPr>
      <w:widowControl w:val="1"/>
      <w:spacing w:after="120"/>
      <w:ind/>
    </w:pPr>
    <w:rPr>
      <w:sz w:val="16"/>
    </w:rPr>
  </w:style>
  <w:style w:styleId="Style_39_ch" w:type="character">
    <w:name w:val="Body Text 3"/>
    <w:basedOn w:val="Style_7_ch"/>
    <w:link w:val="Style_39"/>
    <w:rPr>
      <w:sz w:val="16"/>
    </w:rPr>
  </w:style>
  <w:style w:styleId="Style_40" w:type="paragraph">
    <w:name w:val="ConsPlusCell"/>
    <w:link w:val="Style_40_ch"/>
    <w:pPr>
      <w:widowControl w:val="0"/>
      <w:ind/>
    </w:pPr>
    <w:rPr>
      <w:rFonts w:ascii="Arial" w:hAnsi="Arial"/>
    </w:rPr>
  </w:style>
  <w:style w:styleId="Style_40_ch" w:type="character">
    <w:name w:val="ConsPlusCell"/>
    <w:link w:val="Style_40"/>
    <w:rPr>
      <w:rFonts w:ascii="Arial" w:hAnsi="Arial"/>
    </w:rPr>
  </w:style>
  <w:style w:styleId="Style_41" w:type="paragraph">
    <w:name w:val="toc 5"/>
    <w:next w:val="Style_7"/>
    <w:link w:val="Style_41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41_ch" w:type="character">
    <w:name w:val="toc 5"/>
    <w:link w:val="Style_41"/>
    <w:rPr>
      <w:rFonts w:ascii="XO Thames" w:hAnsi="XO Thames"/>
      <w:sz w:val="28"/>
    </w:rPr>
  </w:style>
  <w:style w:styleId="Style_42" w:type="paragraph">
    <w:name w:val="Body Text Indent 3"/>
    <w:basedOn w:val="Style_7"/>
    <w:link w:val="Style_42_ch"/>
    <w:pPr>
      <w:widowControl w:val="1"/>
      <w:spacing w:line="360" w:lineRule="auto"/>
      <w:ind w:hanging="4962" w:left="5529"/>
      <w:jc w:val="both"/>
    </w:pPr>
  </w:style>
  <w:style w:styleId="Style_42_ch" w:type="character">
    <w:name w:val="Body Text Indent 3"/>
    <w:basedOn w:val="Style_7_ch"/>
    <w:link w:val="Style_42"/>
  </w:style>
  <w:style w:styleId="Style_43" w:type="paragraph">
    <w:name w:val="Текст выноски Знак"/>
    <w:link w:val="Style_43_ch"/>
    <w:rPr>
      <w:rFonts w:ascii="Tahoma" w:hAnsi="Tahoma"/>
      <w:sz w:val="16"/>
    </w:rPr>
  </w:style>
  <w:style w:styleId="Style_43_ch" w:type="character">
    <w:name w:val="Текст выноски Знак"/>
    <w:link w:val="Style_43"/>
    <w:rPr>
      <w:rFonts w:ascii="Tahoma" w:hAnsi="Tahoma"/>
      <w:sz w:val="16"/>
    </w:rPr>
  </w:style>
  <w:style w:styleId="Style_44" w:type="paragraph">
    <w:name w:val="Subtitle"/>
    <w:next w:val="Style_7"/>
    <w:link w:val="Style_4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44_ch" w:type="character">
    <w:name w:val="Subtitle"/>
    <w:link w:val="Style_44"/>
    <w:rPr>
      <w:rFonts w:ascii="XO Thames" w:hAnsi="XO Thames"/>
      <w:i w:val="1"/>
      <w:sz w:val="24"/>
    </w:rPr>
  </w:style>
  <w:style w:styleId="Style_45" w:type="paragraph">
    <w:name w:val="Title"/>
    <w:next w:val="Style_7"/>
    <w:link w:val="Style_4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5_ch" w:type="character">
    <w:name w:val="Title"/>
    <w:link w:val="Style_45"/>
    <w:rPr>
      <w:rFonts w:ascii="XO Thames" w:hAnsi="XO Thames"/>
      <w:b w:val="1"/>
      <w:caps w:val="1"/>
      <w:sz w:val="40"/>
    </w:rPr>
  </w:style>
  <w:style w:styleId="Style_46" w:type="paragraph">
    <w:name w:val="heading 4"/>
    <w:basedOn w:val="Style_7"/>
    <w:next w:val="Style_7"/>
    <w:link w:val="Style_46_ch"/>
    <w:uiPriority w:val="9"/>
    <w:qFormat/>
    <w:pPr>
      <w:keepNext w:val="1"/>
      <w:widowControl w:val="1"/>
      <w:spacing w:line="360" w:lineRule="auto"/>
      <w:ind/>
      <w:jc w:val="center"/>
      <w:outlineLvl w:val="3"/>
    </w:pPr>
  </w:style>
  <w:style w:styleId="Style_46_ch" w:type="character">
    <w:name w:val="heading 4"/>
    <w:basedOn w:val="Style_7_ch"/>
    <w:link w:val="Style_46"/>
  </w:style>
  <w:style w:styleId="Style_4" w:type="paragraph">
    <w:name w:val="heading 2"/>
    <w:basedOn w:val="Style_7"/>
    <w:next w:val="Style_7"/>
    <w:link w:val="Style_4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4_ch" w:type="character">
    <w:name w:val="heading 2"/>
    <w:basedOn w:val="Style_7_ch"/>
    <w:link w:val="Style_4"/>
    <w:rPr>
      <w:b w:val="1"/>
    </w:rPr>
  </w:style>
  <w:style w:default="1" w:styleId="Style_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fontTable.xml" Type="http://schemas.openxmlformats.org/officeDocument/2006/relationships/fontTable"/>
  <Relationship Id="rId1" Target="header1.xml" Type="http://schemas.openxmlformats.org/officeDocument/2006/relationships/header"/>
  <Relationship Id="rId8" Target="webSettings.xml" Type="http://schemas.openxmlformats.org/officeDocument/2006/relationships/webSettings"/>
  <Relationship Id="rId10" Target="numbering.xml" Type="http://schemas.openxmlformats.org/officeDocument/2006/relationships/numbering"/>
  <Relationship Id="rId7" Target="stylesWithEffects.xml" Type="http://schemas.microsoft.com/office/2007/relationships/stylesWithEffects"/>
  <Relationship Id="rId5" Target="settings.xml" Type="http://schemas.openxmlformats.org/officeDocument/2006/relationships/settings"/>
  <Relationship Id="rId3" Target="media/1.png" Type="http://schemas.openxmlformats.org/officeDocument/2006/relationships/image"/>
  <Relationship Id="rId2" Target="header2.xml" Type="http://schemas.openxmlformats.org/officeDocument/2006/relationships/header"/>
  <Relationship Id="rId9" Target="theme/theme1.xml" Type="http://schemas.openxmlformats.org/officeDocument/2006/relationships/theme"/>
  <Relationship Id="rId6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2026-09-19T10:24:10Z</dcterms:created>
  <dcterms:modified xsi:type="dcterms:W3CDTF">2026-09-23T11:01:33Z</dcterms:modified>
</cp:coreProperties>
</file>