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</w:rPr>
      </w:pPr>
    </w:p>
    <w:p w14:paraId="07000000">
      <w:pPr>
        <w:widowControl w:val="0"/>
        <w:spacing w:after="0" w:line="240" w:lineRule="auto"/>
        <w:ind w:firstLine="0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12</w:t>
      </w:r>
      <w:r>
        <w:rPr>
          <w:rFonts w:ascii="Times New Roman" w:hAnsi="Times New Roman"/>
          <w:color w:themeColor="text1" w:val="000000"/>
          <w:sz w:val="28"/>
        </w:rPr>
        <w:t xml:space="preserve"> августа </w:t>
      </w:r>
      <w:r>
        <w:rPr>
          <w:rFonts w:ascii="Times New Roman" w:hAnsi="Times New Roman"/>
          <w:color w:themeColor="text1" w:val="000000"/>
          <w:sz w:val="28"/>
        </w:rPr>
        <w:t>2026</w:t>
      </w:r>
      <w:r>
        <w:rPr>
          <w:rFonts w:ascii="Times New Roman" w:hAnsi="Times New Roman"/>
          <w:color w:themeColor="text1" w:val="000000"/>
          <w:sz w:val="28"/>
        </w:rPr>
        <w:t xml:space="preserve"> 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  </w:t>
      </w:r>
      <w:r>
        <w:rPr>
          <w:rFonts w:ascii="Times New Roman" w:hAnsi="Times New Roman"/>
          <w:color w:themeColor="text1" w:val="000000"/>
          <w:sz w:val="28"/>
        </w:rPr>
        <w:t xml:space="preserve">    </w:t>
      </w:r>
      <w:r>
        <w:rPr>
          <w:rFonts w:ascii="Times New Roman" w:hAnsi="Times New Roman"/>
          <w:color w:themeColor="text1" w:val="000000"/>
          <w:sz w:val="28"/>
        </w:rPr>
        <w:t xml:space="preserve">№ </w:t>
      </w:r>
      <w:r>
        <w:rPr>
          <w:rFonts w:ascii="Times New Roman" w:hAnsi="Times New Roman"/>
          <w:color w:themeColor="text1" w:val="000000"/>
          <w:sz w:val="28"/>
        </w:rPr>
        <w:t>9-2</w:t>
      </w:r>
    </w:p>
    <w:p w14:paraId="08000000">
      <w:pPr>
        <w:rPr>
          <w:color w:themeColor="text1" w:val="000000"/>
        </w:rPr>
      </w:pPr>
      <w:r>
        <w:rPr>
          <w:color w:themeColor="text1" w:val="000000"/>
        </w:rPr>
        <w:br/>
      </w:r>
    </w:p>
    <w:p w14:paraId="09000000">
      <w:pPr>
        <w:widowControl w:val="0"/>
        <w:ind/>
        <w:jc w:val="center"/>
      </w:pPr>
      <w:r>
        <w:rPr>
          <w:color w:themeColor="text1" w:val="000000"/>
        </w:rPr>
        <w:t>г. Таганрог</w:t>
      </w:r>
    </w:p>
    <w:p w14:paraId="0A000000">
      <w:pPr>
        <w:widowControl w:val="0"/>
        <w:ind/>
        <w:jc w:val="center"/>
      </w:pPr>
    </w:p>
    <w:p w14:paraId="0B000000">
      <w:pPr>
        <w:pStyle w:val="Style_2"/>
        <w:widowControl w:val="0"/>
        <w:tabs>
          <w:tab w:leader="none" w:pos="2268" w:val="left"/>
          <w:tab w:leader="none" w:pos="7938" w:val="left"/>
        </w:tabs>
        <w:ind w:firstLine="0" w:left="2268" w:right="1418"/>
        <w:jc w:val="both"/>
      </w:pPr>
      <w:r>
        <w:rPr>
          <w:rFonts w:ascii="Times New Roman" w:hAnsi="Times New Roman"/>
          <w:b w:val="1"/>
          <w:sz w:val="28"/>
        </w:rPr>
        <w:t xml:space="preserve">О внесении изменений в постановление Территориальной избирательной комиссии города Таганрога </w:t>
      </w:r>
      <w:r>
        <w:rPr>
          <w:rFonts w:ascii="Times New Roman" w:hAnsi="Times New Roman"/>
          <w:b w:val="1"/>
          <w:sz w:val="28"/>
        </w:rPr>
        <w:t>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sz w:val="28"/>
        </w:rPr>
        <w:t xml:space="preserve">06 </w:t>
      </w:r>
      <w:r>
        <w:rPr>
          <w:rFonts w:ascii="Times New Roman" w:hAnsi="Times New Roman"/>
          <w:b w:val="1"/>
          <w:sz w:val="28"/>
        </w:rPr>
        <w:t>февраля</w:t>
      </w:r>
      <w:r>
        <w:rPr>
          <w:rFonts w:ascii="Times New Roman" w:hAnsi="Times New Roman"/>
          <w:b w:val="1"/>
          <w:sz w:val="28"/>
        </w:rPr>
        <w:t xml:space="preserve"> 20</w:t>
      </w:r>
      <w:r>
        <w:rPr>
          <w:rFonts w:ascii="Times New Roman" w:hAnsi="Times New Roman"/>
          <w:b w:val="1"/>
          <w:sz w:val="28"/>
        </w:rPr>
        <w:t>24</w:t>
      </w:r>
      <w:r>
        <w:rPr>
          <w:rFonts w:ascii="Times New Roman" w:hAnsi="Times New Roman"/>
          <w:b w:val="1"/>
          <w:sz w:val="28"/>
        </w:rPr>
        <w:t xml:space="preserve"> г.</w:t>
      </w:r>
      <w:r>
        <w:t xml:space="preserve"> </w:t>
      </w:r>
      <w:r>
        <w:br/>
      </w:r>
      <w:r>
        <w:rPr>
          <w:rFonts w:ascii="Times New Roman" w:hAnsi="Times New Roman"/>
          <w:b w:val="1"/>
          <w:sz w:val="28"/>
        </w:rPr>
        <w:t>№ 100-1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 xml:space="preserve">О назначении членов участковой избирательной комиссии избирательных участков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выбывших»</w:t>
      </w:r>
      <w:r>
        <w:rPr>
          <w:rFonts w:ascii="Times New Roman" w:hAnsi="Times New Roman"/>
          <w:b w:val="1"/>
          <w:color w:themeColor="text1" w:val="000000"/>
          <w:sz w:val="28"/>
        </w:rPr>
        <w:t xml:space="preserve"> </w:t>
      </w:r>
      <w:r>
        <w:rPr>
          <w:rFonts w:ascii="Times New Roman" w:hAnsi="Times New Roman"/>
          <w:b w:val="1"/>
          <w:color w:val="FF0000"/>
          <w:sz w:val="28"/>
        </w:rPr>
        <w:br/>
      </w:r>
    </w:p>
    <w:p w14:paraId="0C000000">
      <w:pPr>
        <w:pStyle w:val="Style_3"/>
        <w:widowControl w:val="0"/>
        <w:ind w:firstLine="708" w:left="0"/>
        <w:jc w:val="both"/>
      </w:pPr>
    </w:p>
    <w:p w14:paraId="0D000000">
      <w:pPr>
        <w:widowControl w:val="0"/>
        <w:spacing w:line="360" w:lineRule="auto"/>
        <w:ind w:firstLine="709" w:left="0"/>
        <w:jc w:val="both"/>
      </w:pPr>
      <w:r>
        <w:t xml:space="preserve">В связи с заключением брака (Свидетельство о заключении брака </w:t>
      </w:r>
      <w:r>
        <w:br/>
      </w:r>
      <w:r>
        <w:t>№ II</w:t>
      </w:r>
      <w:r>
        <w:t>I</w:t>
      </w:r>
      <w:r>
        <w:t xml:space="preserve"> – АН № </w:t>
      </w:r>
      <w:r>
        <w:t>746497</w:t>
      </w:r>
      <w:r>
        <w:t xml:space="preserve"> от 20.06</w:t>
      </w:r>
      <w:r>
        <w:t>.2026</w:t>
      </w:r>
      <w:r>
        <w:t xml:space="preserve"> г.) отделом  ЗАГС</w:t>
      </w:r>
      <w:r>
        <w:t xml:space="preserve"> </w:t>
      </w:r>
      <w:r>
        <w:t>Неклиновского района Ростовской области</w:t>
      </w:r>
      <w:r>
        <w:t xml:space="preserve"> и изменением фамилии Коваленко Анастасии Викторовны </w:t>
      </w:r>
      <w:r>
        <w:t xml:space="preserve">Территориальная избирательная комиссия города Таганрога (восточная) Ростовской области </w:t>
      </w:r>
    </w:p>
    <w:p w14:paraId="0E000000">
      <w:pPr>
        <w:widowControl w:val="0"/>
        <w:ind/>
        <w:jc w:val="both"/>
      </w:pPr>
    </w:p>
    <w:p w14:paraId="0F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10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</w:p>
    <w:p w14:paraId="11000000">
      <w:pPr>
        <w:widowControl w:val="0"/>
        <w:numPr>
          <w:numId w:val="1"/>
        </w:numPr>
        <w:spacing w:line="360" w:lineRule="auto"/>
        <w:ind w:firstLine="567" w:left="0"/>
        <w:jc w:val="both"/>
        <w:rPr>
          <w:b w:val="0"/>
        </w:rPr>
      </w:pPr>
      <w:r>
        <w:rPr>
          <w:b w:val="0"/>
        </w:rPr>
        <w:t>В строчке 30 приложения к постановлению</w:t>
      </w:r>
      <w:r>
        <w:rPr>
          <w:b w:val="0"/>
        </w:rPr>
        <w:t xml:space="preserve"> Территориальной избирательной комиссии города Таганрога</w:t>
      </w:r>
      <w:r>
        <w:rPr>
          <w:b w:val="0"/>
        </w:rPr>
        <w:t xml:space="preserve"> (восточная) Ростовской области</w:t>
      </w:r>
      <w:r>
        <w:rPr>
          <w:b w:val="0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от </w:t>
      </w:r>
      <w:r>
        <w:rPr>
          <w:rFonts w:ascii="Times New Roman" w:hAnsi="Times New Roman"/>
          <w:b w:val="0"/>
          <w:sz w:val="28"/>
        </w:rPr>
        <w:t>06 февраля</w:t>
      </w:r>
      <w:r>
        <w:rPr>
          <w:rFonts w:ascii="Times New Roman" w:hAnsi="Times New Roman"/>
          <w:b w:val="0"/>
          <w:sz w:val="28"/>
        </w:rPr>
        <w:t xml:space="preserve"> 20</w:t>
      </w:r>
      <w:r>
        <w:rPr>
          <w:rFonts w:ascii="Times New Roman" w:hAnsi="Times New Roman"/>
          <w:b w:val="0"/>
          <w:sz w:val="28"/>
        </w:rPr>
        <w:t>24</w:t>
      </w:r>
      <w:r>
        <w:rPr>
          <w:rFonts w:ascii="Times New Roman" w:hAnsi="Times New Roman"/>
          <w:b w:val="0"/>
          <w:sz w:val="28"/>
        </w:rPr>
        <w:t xml:space="preserve"> г.</w:t>
      </w:r>
      <w:r>
        <w:rPr>
          <w:b w:val="0"/>
        </w:rPr>
        <w:t xml:space="preserve"> </w:t>
      </w:r>
      <w:r>
        <w:rPr>
          <w:rFonts w:ascii="Times New Roman" w:hAnsi="Times New Roman"/>
          <w:b w:val="0"/>
          <w:sz w:val="28"/>
        </w:rPr>
        <w:t>№ 100-1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«</w:t>
      </w:r>
      <w:r>
        <w:rPr>
          <w:rFonts w:ascii="Times New Roman" w:hAnsi="Times New Roman"/>
          <w:b w:val="0"/>
          <w:sz w:val="28"/>
        </w:rPr>
        <w:t xml:space="preserve">О назначении членов участковой избирательной комиссии избирательных участков 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с правом решающего голоса </w:t>
      </w:r>
      <w:r>
        <w:rPr>
          <w:rFonts w:ascii="Times New Roman" w:hAnsi="Times New Roman"/>
          <w:b w:val="0"/>
          <w:sz w:val="28"/>
        </w:rPr>
        <w:t>вместо</w:t>
      </w:r>
      <w:r>
        <w:rPr>
          <w:rFonts w:ascii="Times New Roman" w:hAnsi="Times New Roman"/>
          <w:b w:val="0"/>
          <w:sz w:val="28"/>
        </w:rPr>
        <w:t xml:space="preserve"> выбывших»</w:t>
      </w:r>
      <w:r>
        <w:rPr>
          <w:rFonts w:ascii="Times New Roman" w:hAnsi="Times New Roman"/>
          <w:b w:val="0"/>
          <w:color w:themeColor="text1" w:val="000000"/>
          <w:sz w:val="28"/>
        </w:rPr>
        <w:t xml:space="preserve"> </w:t>
      </w:r>
      <w:r>
        <w:rPr>
          <w:b w:val="0"/>
        </w:rPr>
        <w:t xml:space="preserve"> слово «Коваленко</w:t>
      </w:r>
      <w:r>
        <w:rPr>
          <w:b w:val="0"/>
        </w:rPr>
        <w:t xml:space="preserve">» </w:t>
      </w:r>
      <w:r>
        <w:rPr>
          <w:b w:val="0"/>
        </w:rPr>
        <w:t>заменить на слово</w:t>
      </w:r>
      <w:r>
        <w:rPr>
          <w:b w:val="0"/>
        </w:rPr>
        <w:t xml:space="preserve"> «</w:t>
      </w:r>
      <w:r>
        <w:rPr>
          <w:b w:val="0"/>
        </w:rPr>
        <w:t>Бережная</w:t>
      </w:r>
      <w:r>
        <w:rPr>
          <w:b w:val="0"/>
        </w:rPr>
        <w:t>».</w:t>
      </w:r>
    </w:p>
    <w:p w14:paraId="12000000">
      <w:pPr>
        <w:widowControl w:val="0"/>
        <w:spacing w:line="360" w:lineRule="auto"/>
        <w:ind w:firstLine="709" w:left="0"/>
        <w:jc w:val="both"/>
      </w:pPr>
    </w:p>
    <w:p w14:paraId="13000000">
      <w:pPr>
        <w:widowControl w:val="0"/>
        <w:spacing w:line="360" w:lineRule="auto"/>
        <w:ind w:firstLine="709" w:left="0"/>
        <w:jc w:val="both"/>
      </w:pPr>
      <w:r>
        <w:t>2. Направить настоящее постановление в участковую избирательную комиссию избирательного участка, участка референдума № 2</w:t>
      </w:r>
      <w:r>
        <w:t>153.</w:t>
      </w:r>
    </w:p>
    <w:p w14:paraId="14000000">
      <w:pPr>
        <w:widowControl w:val="0"/>
        <w:spacing w:line="360" w:lineRule="auto"/>
        <w:ind w:firstLine="709" w:left="0"/>
        <w:jc w:val="both"/>
      </w:pPr>
    </w:p>
    <w:p w14:paraId="15000000">
      <w:pPr>
        <w:widowControl w:val="0"/>
        <w:spacing w:line="360" w:lineRule="auto"/>
        <w:ind w:firstLine="709" w:left="0"/>
        <w:jc w:val="both"/>
      </w:pPr>
      <w:r>
        <w:t>3.</w:t>
      </w:r>
      <w:r>
        <w:t xml:space="preserve"> </w:t>
      </w:r>
      <w:r>
        <w:t>Контроль за</w:t>
      </w:r>
      <w:r>
        <w:t xml:space="preserve"> исполнением настоящего постановления возложить на секретаря Территориальной избирательной комиссии</w:t>
      </w:r>
      <w:r>
        <w:t xml:space="preserve"> города</w:t>
      </w:r>
      <w:r>
        <w:t xml:space="preserve"> Таганрога (восточная) Ростовской области Ю.В. Романенко.</w:t>
      </w:r>
      <w:r>
        <w:br/>
      </w:r>
    </w:p>
    <w:p w14:paraId="16000000">
      <w:pPr>
        <w:widowControl w:val="0"/>
        <w:spacing w:line="360" w:lineRule="auto"/>
        <w:ind w:firstLine="709" w:left="0"/>
        <w:jc w:val="both"/>
      </w:pPr>
    </w:p>
    <w:p w14:paraId="17000000">
      <w:pPr>
        <w:widowControl w:val="0"/>
        <w:ind/>
        <w:jc w:val="center"/>
      </w:pPr>
    </w:p>
    <w:p w14:paraId="18000000">
      <w:r>
        <w:t>Председа</w:t>
      </w:r>
      <w:r>
        <w:t>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</w:t>
      </w:r>
      <w:r>
        <w:t xml:space="preserve"> </w:t>
      </w:r>
      <w:r>
        <w:t>Ерасов</w:t>
      </w:r>
    </w:p>
    <w:p w14:paraId="19000000"/>
    <w:p w14:paraId="1A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B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3" w:type="paragraph">
    <w:name w:val="List Paragraph"/>
    <w:basedOn w:val="Style_4"/>
    <w:link w:val="Style_3_ch"/>
    <w:pPr>
      <w:widowControl w:val="0"/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" w:type="paragraph">
    <w:name w:val="Con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Nonformat"/>
    <w:link w:val="Style_2"/>
    <w:rPr>
      <w:rFonts w:ascii="Courier New" w:hAnsi="Courier New"/>
      <w:sz w:val="20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2024-04-01T06:57:40Z</dcterms:created>
  <dcterms:modified xsi:type="dcterms:W3CDTF">2026-08-12T12:50:59Z</dcterms:modified>
</cp:coreProperties>
</file>