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7A2" w:rsidRDefault="00340633">
      <w:pPr>
        <w:spacing w:line="480" w:lineRule="auto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24129" cy="569976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24129" cy="569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7A2" w:rsidRDefault="00340633">
      <w:pPr>
        <w:ind w:right="175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BB37A2" w:rsidRDefault="00340633">
      <w:pPr>
        <w:ind w:right="175"/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BB37A2" w:rsidRDefault="00BB37A2">
      <w:pPr>
        <w:ind w:right="175"/>
        <w:jc w:val="center"/>
        <w:rPr>
          <w:b/>
          <w:spacing w:val="20"/>
          <w:sz w:val="16"/>
        </w:rPr>
      </w:pPr>
    </w:p>
    <w:p w:rsidR="00BB37A2" w:rsidRDefault="00BB37A2">
      <w:pPr>
        <w:ind w:right="175"/>
        <w:jc w:val="center"/>
        <w:rPr>
          <w:b/>
          <w:spacing w:val="20"/>
          <w:sz w:val="12"/>
        </w:rPr>
      </w:pPr>
    </w:p>
    <w:p w:rsidR="00BB37A2" w:rsidRDefault="00340633">
      <w:pPr>
        <w:ind w:right="175"/>
        <w:jc w:val="center"/>
        <w:rPr>
          <w:sz w:val="28"/>
        </w:rPr>
      </w:pPr>
      <w:r>
        <w:rPr>
          <w:b/>
          <w:spacing w:val="20"/>
          <w:sz w:val="28"/>
        </w:rPr>
        <w:t>ПОСТАНОВЛЕНИЕ</w:t>
      </w:r>
    </w:p>
    <w:p w:rsidR="00BB37A2" w:rsidRDefault="00340633">
      <w:pPr>
        <w:ind w:right="175"/>
        <w:jc w:val="both"/>
        <w:rPr>
          <w:sz w:val="28"/>
        </w:rPr>
      </w:pPr>
      <w:r>
        <w:rPr>
          <w:sz w:val="28"/>
        </w:rPr>
        <w:t xml:space="preserve">19 июня 2024 г.                                                        </w:t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№ 114-28</w:t>
      </w:r>
    </w:p>
    <w:p w:rsidR="00BB37A2" w:rsidRDefault="00340633">
      <w:pPr>
        <w:ind w:right="175"/>
        <w:jc w:val="center"/>
        <w:rPr>
          <w:sz w:val="28"/>
        </w:rPr>
      </w:pPr>
      <w:r>
        <w:rPr>
          <w:sz w:val="28"/>
        </w:rPr>
        <w:t>г. Таганрог</w:t>
      </w:r>
    </w:p>
    <w:p w:rsidR="00BB37A2" w:rsidRDefault="00BB37A2">
      <w:pPr>
        <w:spacing w:line="276" w:lineRule="auto"/>
        <w:jc w:val="both"/>
        <w:rPr>
          <w:sz w:val="12"/>
        </w:rPr>
      </w:pPr>
    </w:p>
    <w:tbl>
      <w:tblPr>
        <w:tblW w:w="0" w:type="auto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5296"/>
      </w:tblGrid>
      <w:tr w:rsidR="00BB37A2">
        <w:trPr>
          <w:trHeight w:val="2914"/>
          <w:jc w:val="center"/>
        </w:trPr>
        <w:tc>
          <w:tcPr>
            <w:tcW w:w="5296" w:type="dxa"/>
          </w:tcPr>
          <w:p w:rsidR="00BB37A2" w:rsidRDefault="00340633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 перечне документов, прилагаемых </w:t>
            </w:r>
            <w:r>
              <w:rPr>
                <w:b/>
                <w:sz w:val="28"/>
              </w:rPr>
              <w:br/>
              <w:t xml:space="preserve">к </w:t>
            </w:r>
            <w:r>
              <w:rPr>
                <w:b/>
                <w:sz w:val="28"/>
              </w:rPr>
              <w:t xml:space="preserve">итоговому финансовому отчету кандидата, избирательного объединения при проведении </w:t>
            </w:r>
            <w:proofErr w:type="gramStart"/>
            <w:r>
              <w:rPr>
                <w:b/>
                <w:sz w:val="28"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b/>
                <w:sz w:val="28"/>
              </w:rPr>
              <w:t xml:space="preserve"> </w:t>
            </w:r>
          </w:p>
        </w:tc>
      </w:tr>
    </w:tbl>
    <w:p w:rsidR="00BB37A2" w:rsidRDefault="00340633">
      <w:pPr>
        <w:ind w:firstLine="709"/>
        <w:jc w:val="both"/>
        <w:rPr>
          <w:sz w:val="28"/>
        </w:rPr>
      </w:pPr>
      <w:r>
        <w:rPr>
          <w:sz w:val="28"/>
        </w:rPr>
        <w:t>В соответствии с пунктом 9</w:t>
      </w:r>
      <w:r>
        <w:rPr>
          <w:sz w:val="28"/>
          <w:vertAlign w:val="superscript"/>
        </w:rPr>
        <w:t>1</w:t>
      </w:r>
      <w:r>
        <w:rPr>
          <w:sz w:val="28"/>
        </w:rPr>
        <w:t xml:space="preserve"> статьи 26, пунктом 9 статьи 59  Федерального закона от 12.06.2002 № 67-ФЗ «Об </w:t>
      </w:r>
      <w:r>
        <w:rPr>
          <w:sz w:val="28"/>
        </w:rPr>
        <w:t xml:space="preserve">основных гарантиях избирательных прав </w:t>
      </w:r>
      <w:r>
        <w:rPr>
          <w:sz w:val="28"/>
        </w:rPr>
        <w:br/>
        <w:t>и права на участие в референдуме граждан Российской Федерации»,                              пунктом 4</w:t>
      </w:r>
      <w:r>
        <w:rPr>
          <w:sz w:val="28"/>
          <w:vertAlign w:val="superscript"/>
        </w:rPr>
        <w:t>2</w:t>
      </w:r>
      <w:r>
        <w:rPr>
          <w:sz w:val="28"/>
        </w:rPr>
        <w:t xml:space="preserve"> статьи 53 Областного закона от 12.05.2016 № 525-ЗС «О выборах                          </w:t>
      </w:r>
      <w:proofErr w:type="gramStart"/>
      <w:r>
        <w:rPr>
          <w:sz w:val="28"/>
        </w:rPr>
        <w:t>и референдумах в Ростовско</w:t>
      </w:r>
      <w:r>
        <w:rPr>
          <w:sz w:val="28"/>
        </w:rPr>
        <w:t xml:space="preserve">й области», постановлением Избирательной комиссии Ростовской области </w:t>
      </w:r>
      <w:r>
        <w:rPr>
          <w:sz w:val="28"/>
        </w:rPr>
        <w:t>от 17.05.2022 № 215-4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</w:t>
      </w:r>
      <w:r>
        <w:rPr>
          <w:sz w:val="28"/>
        </w:rPr>
        <w:t>я «Город Таганрог» на Территориальную избирательную комиссию города Таганрога (восточная) Ростовской области»,</w:t>
      </w:r>
      <w:r>
        <w:rPr>
          <w:sz w:val="28"/>
        </w:rPr>
        <w:t xml:space="preserve"> Территориальная избирательная комиссия города Таганрога (восточная) Ростовской области  </w:t>
      </w:r>
      <w:proofErr w:type="gramEnd"/>
    </w:p>
    <w:p w:rsidR="00BB37A2" w:rsidRDefault="00BB37A2">
      <w:pPr>
        <w:ind w:firstLine="709"/>
        <w:jc w:val="both"/>
        <w:rPr>
          <w:sz w:val="28"/>
        </w:rPr>
      </w:pPr>
    </w:p>
    <w:p w:rsidR="00BB37A2" w:rsidRDefault="00340633">
      <w:pPr>
        <w:ind w:firstLine="709"/>
        <w:jc w:val="center"/>
        <w:rPr>
          <w:sz w:val="28"/>
        </w:rPr>
      </w:pPr>
      <w:r>
        <w:rPr>
          <w:sz w:val="28"/>
        </w:rPr>
        <w:t>ПОСТАНОВЛЯЕТ:</w:t>
      </w:r>
    </w:p>
    <w:p w:rsidR="00BB37A2" w:rsidRDefault="00BB37A2">
      <w:pPr>
        <w:ind w:right="-185" w:firstLine="567"/>
        <w:jc w:val="center"/>
        <w:rPr>
          <w:sz w:val="28"/>
        </w:rPr>
      </w:pPr>
    </w:p>
    <w:p w:rsidR="00BB37A2" w:rsidRDefault="00340633">
      <w:pPr>
        <w:pStyle w:val="a5"/>
        <w:numPr>
          <w:ilvl w:val="0"/>
          <w:numId w:val="1"/>
        </w:numPr>
        <w:ind w:left="0" w:firstLine="567"/>
        <w:jc w:val="both"/>
        <w:rPr>
          <w:sz w:val="28"/>
        </w:rPr>
      </w:pPr>
      <w:r>
        <w:rPr>
          <w:sz w:val="28"/>
        </w:rPr>
        <w:t>Утвердить</w:t>
      </w:r>
      <w:r>
        <w:rPr>
          <w:sz w:val="28"/>
        </w:rPr>
        <w:t xml:space="preserve"> перечень документов, прилагаемых к итоговому финансовому отчету кандидата при проведении </w:t>
      </w:r>
      <w:proofErr w:type="gramStart"/>
      <w:r>
        <w:rPr>
          <w:sz w:val="28"/>
        </w:rPr>
        <w:t>выборов депутатов Городской Думы города Таганрога восьмого созыва</w:t>
      </w:r>
      <w:proofErr w:type="gramEnd"/>
      <w:r>
        <w:rPr>
          <w:sz w:val="28"/>
        </w:rPr>
        <w:t xml:space="preserve"> согласно приложению.</w:t>
      </w:r>
    </w:p>
    <w:p w:rsidR="00BB37A2" w:rsidRDefault="00340633">
      <w:pPr>
        <w:pStyle w:val="a5"/>
        <w:numPr>
          <w:ilvl w:val="0"/>
          <w:numId w:val="1"/>
        </w:numPr>
        <w:ind w:left="0" w:firstLine="567"/>
        <w:jc w:val="both"/>
        <w:rPr>
          <w:sz w:val="28"/>
        </w:rPr>
      </w:pPr>
      <w:r>
        <w:rPr>
          <w:sz w:val="28"/>
        </w:rPr>
        <w:t>Разместить настоящее постановление на сайте Территориальной избирательной комис</w:t>
      </w:r>
      <w:r>
        <w:rPr>
          <w:sz w:val="28"/>
        </w:rPr>
        <w:t>сии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</w:t>
      </w:r>
      <w:r>
        <w:rPr>
          <w:sz w:val="28"/>
        </w:rPr>
        <w:br/>
        <w:t>в информационно – телекоммуникационной сети «Интернет».</w:t>
      </w:r>
    </w:p>
    <w:p w:rsidR="00BB37A2" w:rsidRDefault="00340633">
      <w:pPr>
        <w:pStyle w:val="a5"/>
        <w:numPr>
          <w:ilvl w:val="0"/>
          <w:numId w:val="1"/>
        </w:numPr>
        <w:ind w:left="0" w:firstLine="567"/>
        <w:jc w:val="both"/>
        <w:rPr>
          <w:sz w:val="28"/>
        </w:rPr>
      </w:pPr>
      <w:r>
        <w:rPr>
          <w:sz w:val="28"/>
        </w:rPr>
        <w:t xml:space="preserve">Контроль над исполнением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города Таганрога (восточная) Ростов</w:t>
      </w:r>
      <w:r>
        <w:rPr>
          <w:sz w:val="28"/>
        </w:rPr>
        <w:t>ской области Ю.В. Романенко.</w:t>
      </w:r>
    </w:p>
    <w:p w:rsidR="00BB37A2" w:rsidRDefault="00BB37A2">
      <w:pPr>
        <w:tabs>
          <w:tab w:val="left" w:pos="993"/>
        </w:tabs>
        <w:ind w:firstLine="709"/>
        <w:jc w:val="both"/>
        <w:rPr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BB37A2">
        <w:trPr>
          <w:trHeight w:val="728"/>
        </w:trPr>
        <w:tc>
          <w:tcPr>
            <w:tcW w:w="3352" w:type="dxa"/>
            <w:shd w:val="clear" w:color="auto" w:fill="auto"/>
          </w:tcPr>
          <w:p w:rsidR="00BB37A2" w:rsidRDefault="00BB37A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  <w:p w:rsidR="00BB37A2" w:rsidRDefault="0034063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BB37A2" w:rsidRDefault="0034063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BB37A2" w:rsidRDefault="0034063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      </w:t>
            </w:r>
          </w:p>
          <w:p w:rsidR="00BB37A2" w:rsidRDefault="0034063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В.Г. Ерасов</w:t>
            </w:r>
          </w:p>
        </w:tc>
      </w:tr>
      <w:tr w:rsidR="00BB37A2">
        <w:trPr>
          <w:trHeight w:val="424"/>
        </w:trPr>
        <w:tc>
          <w:tcPr>
            <w:tcW w:w="3352" w:type="dxa"/>
            <w:shd w:val="clear" w:color="auto" w:fill="auto"/>
          </w:tcPr>
          <w:p w:rsidR="00BB37A2" w:rsidRDefault="00BB37A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  <w:p w:rsidR="00BB37A2" w:rsidRDefault="0034063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BB37A2" w:rsidRDefault="00BB37A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BB37A2" w:rsidRDefault="0034063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   </w:t>
            </w:r>
          </w:p>
          <w:p w:rsidR="00BB37A2" w:rsidRDefault="0034063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Ю.В. Романенко</w:t>
            </w:r>
          </w:p>
        </w:tc>
      </w:tr>
    </w:tbl>
    <w:p w:rsidR="00BB37A2" w:rsidRDefault="00BB37A2">
      <w:pPr>
        <w:ind w:left="5529"/>
        <w:rPr>
          <w:sz w:val="24"/>
        </w:rPr>
      </w:pPr>
    </w:p>
    <w:p w:rsidR="00BB37A2" w:rsidRDefault="00340633">
      <w:pPr>
        <w:ind w:left="5812"/>
        <w:jc w:val="center"/>
        <w:rPr>
          <w:sz w:val="24"/>
        </w:rPr>
      </w:pPr>
      <w:r>
        <w:rPr>
          <w:sz w:val="24"/>
        </w:rPr>
        <w:lastRenderedPageBreak/>
        <w:t>Приложение</w:t>
      </w:r>
    </w:p>
    <w:p w:rsidR="00BB37A2" w:rsidRDefault="00BB37A2">
      <w:pPr>
        <w:ind w:left="5812"/>
        <w:jc w:val="center"/>
        <w:rPr>
          <w:sz w:val="24"/>
        </w:rPr>
      </w:pPr>
    </w:p>
    <w:p w:rsidR="00BB37A2" w:rsidRDefault="00340633">
      <w:pPr>
        <w:keepNext/>
        <w:ind w:left="5812"/>
        <w:jc w:val="center"/>
        <w:outlineLvl w:val="0"/>
        <w:rPr>
          <w:sz w:val="24"/>
        </w:rPr>
      </w:pPr>
      <w:r>
        <w:rPr>
          <w:sz w:val="24"/>
        </w:rPr>
        <w:t>УТВЕРЖДЕН</w:t>
      </w:r>
    </w:p>
    <w:p w:rsidR="00BB37A2" w:rsidRDefault="00340633">
      <w:pPr>
        <w:keepNext/>
        <w:ind w:left="5812"/>
        <w:jc w:val="center"/>
        <w:outlineLvl w:val="0"/>
        <w:rPr>
          <w:sz w:val="24"/>
        </w:rPr>
      </w:pPr>
      <w:r>
        <w:rPr>
          <w:sz w:val="24"/>
        </w:rPr>
        <w:t>постановлением</w:t>
      </w:r>
    </w:p>
    <w:p w:rsidR="00BB37A2" w:rsidRDefault="00340633">
      <w:pPr>
        <w:keepNext/>
        <w:ind w:left="5812"/>
        <w:jc w:val="center"/>
        <w:outlineLvl w:val="0"/>
        <w:rPr>
          <w:sz w:val="24"/>
        </w:rPr>
      </w:pPr>
      <w:r>
        <w:rPr>
          <w:sz w:val="24"/>
        </w:rPr>
        <w:t>Территориальной избирательной комиссии города Таганрога (</w:t>
      </w:r>
      <w:proofErr w:type="gramStart"/>
      <w:r>
        <w:rPr>
          <w:sz w:val="24"/>
        </w:rPr>
        <w:t>восточная</w:t>
      </w:r>
      <w:proofErr w:type="gramEnd"/>
      <w:r>
        <w:rPr>
          <w:sz w:val="24"/>
        </w:rPr>
        <w:t>) Ростовской области</w:t>
      </w:r>
    </w:p>
    <w:p w:rsidR="00BB37A2" w:rsidRDefault="00340633">
      <w:pPr>
        <w:ind w:left="5812"/>
        <w:jc w:val="center"/>
        <w:rPr>
          <w:sz w:val="24"/>
        </w:rPr>
      </w:pPr>
      <w:r>
        <w:rPr>
          <w:sz w:val="24"/>
        </w:rPr>
        <w:t>от 19.06.2024 № 114-28</w:t>
      </w:r>
    </w:p>
    <w:p w:rsidR="00BB37A2" w:rsidRDefault="00BB37A2">
      <w:pPr>
        <w:ind w:left="7230"/>
        <w:jc w:val="both"/>
        <w:rPr>
          <w:sz w:val="24"/>
        </w:rPr>
      </w:pPr>
    </w:p>
    <w:p w:rsidR="00BB37A2" w:rsidRDefault="00BB37A2">
      <w:pPr>
        <w:jc w:val="both"/>
        <w:rPr>
          <w:sz w:val="24"/>
        </w:rPr>
      </w:pPr>
    </w:p>
    <w:p w:rsidR="00BB37A2" w:rsidRDefault="00340633">
      <w:pPr>
        <w:keepNext/>
        <w:jc w:val="center"/>
        <w:outlineLvl w:val="2"/>
        <w:rPr>
          <w:b/>
          <w:sz w:val="28"/>
        </w:rPr>
      </w:pPr>
      <w:r>
        <w:rPr>
          <w:b/>
          <w:sz w:val="28"/>
        </w:rPr>
        <w:t xml:space="preserve">Перечень </w:t>
      </w:r>
    </w:p>
    <w:p w:rsidR="00BB37A2" w:rsidRDefault="00340633">
      <w:pPr>
        <w:jc w:val="center"/>
        <w:rPr>
          <w:b/>
          <w:sz w:val="28"/>
        </w:rPr>
      </w:pPr>
      <w:r>
        <w:rPr>
          <w:b/>
          <w:sz w:val="28"/>
        </w:rPr>
        <w:t xml:space="preserve">документов, прилагаемых к </w:t>
      </w:r>
      <w:proofErr w:type="gramStart"/>
      <w:r>
        <w:rPr>
          <w:b/>
          <w:sz w:val="28"/>
        </w:rPr>
        <w:t>итоговому</w:t>
      </w:r>
      <w:proofErr w:type="gramEnd"/>
      <w:r>
        <w:rPr>
          <w:b/>
          <w:sz w:val="28"/>
        </w:rPr>
        <w:t xml:space="preserve"> </w:t>
      </w:r>
    </w:p>
    <w:p w:rsidR="00BB37A2" w:rsidRDefault="00340633">
      <w:pPr>
        <w:jc w:val="center"/>
        <w:rPr>
          <w:b/>
          <w:sz w:val="28"/>
        </w:rPr>
      </w:pPr>
      <w:r>
        <w:rPr>
          <w:b/>
          <w:sz w:val="28"/>
        </w:rPr>
        <w:t xml:space="preserve">финансовому отчету кандидата, избирательного объединения </w:t>
      </w:r>
    </w:p>
    <w:p w:rsidR="00BB37A2" w:rsidRDefault="00340633">
      <w:pPr>
        <w:jc w:val="center"/>
        <w:rPr>
          <w:b/>
          <w:sz w:val="28"/>
        </w:rPr>
      </w:pPr>
      <w:r>
        <w:rPr>
          <w:b/>
          <w:sz w:val="28"/>
        </w:rPr>
        <w:t xml:space="preserve">при проведении выборов депутатов </w:t>
      </w:r>
    </w:p>
    <w:p w:rsidR="00BB37A2" w:rsidRDefault="00340633">
      <w:pPr>
        <w:jc w:val="center"/>
        <w:rPr>
          <w:sz w:val="24"/>
        </w:rPr>
      </w:pPr>
      <w:r>
        <w:rPr>
          <w:b/>
          <w:sz w:val="28"/>
        </w:rPr>
        <w:t>Городской Думы города Таганрога восьмого созыва:</w:t>
      </w:r>
    </w:p>
    <w:p w:rsidR="00BB37A2" w:rsidRDefault="00BB37A2">
      <w:pPr>
        <w:spacing w:line="276" w:lineRule="auto"/>
        <w:ind w:left="4536"/>
        <w:jc w:val="center"/>
        <w:rPr>
          <w:sz w:val="24"/>
        </w:rPr>
      </w:pPr>
    </w:p>
    <w:p w:rsidR="00BB37A2" w:rsidRDefault="00340633">
      <w:pPr>
        <w:spacing w:after="120"/>
        <w:ind w:firstLine="567"/>
        <w:jc w:val="both"/>
        <w:rPr>
          <w:sz w:val="28"/>
        </w:rPr>
      </w:pPr>
      <w:r>
        <w:rPr>
          <w:sz w:val="28"/>
        </w:rPr>
        <w:t>1) учет поступления и расходования денежных средств избирательного фонда кандидата;</w:t>
      </w:r>
    </w:p>
    <w:p w:rsidR="00BB37A2" w:rsidRDefault="00340633">
      <w:pPr>
        <w:spacing w:after="120"/>
        <w:ind w:firstLine="567"/>
        <w:jc w:val="both"/>
        <w:rPr>
          <w:sz w:val="28"/>
        </w:rPr>
      </w:pPr>
      <w:r>
        <w:rPr>
          <w:sz w:val="28"/>
        </w:rPr>
        <w:t xml:space="preserve">2) справка об остатке средств избирательного фонда на дату сдачи отчета                 </w:t>
      </w:r>
      <w:r>
        <w:rPr>
          <w:sz w:val="28"/>
        </w:rPr>
        <w:t>и (или) о закрытии специального избирательного счета, выданная кредитной организацией, в которой был открыт соответствующий счет;</w:t>
      </w:r>
    </w:p>
    <w:p w:rsidR="00BB37A2" w:rsidRDefault="00340633">
      <w:pPr>
        <w:spacing w:after="120"/>
        <w:ind w:firstLine="567"/>
        <w:jc w:val="both"/>
        <w:rPr>
          <w:sz w:val="28"/>
        </w:rPr>
      </w:pPr>
      <w:r>
        <w:rPr>
          <w:sz w:val="28"/>
        </w:rPr>
        <w:t xml:space="preserve">3) первичные финансовые документы, подтверждающие поступление средств в избирательный фонд и расходование этих средств; </w:t>
      </w:r>
    </w:p>
    <w:p w:rsidR="00BB37A2" w:rsidRDefault="00340633">
      <w:pPr>
        <w:spacing w:afterAutospacing="1"/>
        <w:ind w:firstLine="567"/>
        <w:jc w:val="both"/>
        <w:rPr>
          <w:sz w:val="28"/>
        </w:rPr>
      </w:pPr>
      <w:r>
        <w:rPr>
          <w:sz w:val="28"/>
        </w:rPr>
        <w:t>4) вы</w:t>
      </w:r>
      <w:r>
        <w:rPr>
          <w:sz w:val="28"/>
        </w:rPr>
        <w:t>писки подразделения ПАО Сбербанк (иной кредитной организации)                  по специальному избирательному счету соответствующего избирательного фонда:</w:t>
      </w:r>
    </w:p>
    <w:p w:rsidR="00BB37A2" w:rsidRDefault="00340633">
      <w:pPr>
        <w:spacing w:afterAutospacing="1"/>
        <w:ind w:left="1134"/>
        <w:jc w:val="both"/>
        <w:rPr>
          <w:sz w:val="28"/>
        </w:rPr>
      </w:pPr>
      <w:r>
        <w:rPr>
          <w:sz w:val="28"/>
        </w:rPr>
        <w:t xml:space="preserve">а) распоряжение о переводе добровольных пожертвований граждан,                                       </w:t>
      </w:r>
      <w:r>
        <w:rPr>
          <w:sz w:val="28"/>
        </w:rPr>
        <w:t xml:space="preserve">                                      юридических лиц; </w:t>
      </w:r>
    </w:p>
    <w:p w:rsidR="00BB37A2" w:rsidRDefault="00340633">
      <w:pPr>
        <w:spacing w:afterAutospacing="1"/>
        <w:ind w:left="1134"/>
        <w:jc w:val="both"/>
        <w:rPr>
          <w:sz w:val="28"/>
        </w:rPr>
      </w:pPr>
      <w:r>
        <w:rPr>
          <w:sz w:val="28"/>
        </w:rPr>
        <w:t>б) распоряжение о переводе собственных средств избирательного объединения, кандидата;</w:t>
      </w:r>
    </w:p>
    <w:p w:rsidR="00BB37A2" w:rsidRDefault="00340633">
      <w:pPr>
        <w:spacing w:afterAutospacing="1"/>
        <w:ind w:left="1134"/>
        <w:jc w:val="both"/>
        <w:rPr>
          <w:sz w:val="28"/>
        </w:rPr>
      </w:pPr>
      <w:r>
        <w:rPr>
          <w:sz w:val="28"/>
        </w:rPr>
        <w:t>в) распоряжение о переводе денежных сре</w:t>
      </w:r>
      <w:proofErr w:type="gramStart"/>
      <w:r>
        <w:rPr>
          <w:sz w:val="28"/>
        </w:rPr>
        <w:t>дств в к</w:t>
      </w:r>
      <w:proofErr w:type="gramEnd"/>
      <w:r>
        <w:rPr>
          <w:sz w:val="28"/>
        </w:rPr>
        <w:t>ачестве возвратов неиспользованных средств соответствующего избират</w:t>
      </w:r>
      <w:r>
        <w:rPr>
          <w:sz w:val="28"/>
        </w:rPr>
        <w:t>ельного фонда;</w:t>
      </w:r>
    </w:p>
    <w:p w:rsidR="00BB37A2" w:rsidRDefault="00340633">
      <w:pPr>
        <w:spacing w:afterAutospacing="1"/>
        <w:ind w:left="1134"/>
        <w:jc w:val="both"/>
        <w:rPr>
          <w:sz w:val="28"/>
        </w:rPr>
      </w:pPr>
      <w:r>
        <w:rPr>
          <w:sz w:val="28"/>
        </w:rPr>
        <w:t>г) договоры на поставку товаров, выполнение работ, оказание услуг;</w:t>
      </w:r>
    </w:p>
    <w:p w:rsidR="00BB37A2" w:rsidRDefault="00340633">
      <w:pPr>
        <w:spacing w:afterAutospacing="1"/>
        <w:ind w:left="1134"/>
        <w:jc w:val="both"/>
        <w:rPr>
          <w:sz w:val="28"/>
        </w:rPr>
      </w:pPr>
      <w:r>
        <w:rPr>
          <w:sz w:val="28"/>
        </w:rPr>
        <w:t>д) счета (счета-фактуры);</w:t>
      </w:r>
    </w:p>
    <w:p w:rsidR="00BB37A2" w:rsidRDefault="00340633">
      <w:pPr>
        <w:spacing w:afterAutospacing="1"/>
        <w:ind w:left="1134"/>
        <w:jc w:val="both"/>
        <w:rPr>
          <w:sz w:val="28"/>
        </w:rPr>
      </w:pPr>
      <w:r>
        <w:rPr>
          <w:sz w:val="28"/>
        </w:rPr>
        <w:t>е) накладные на получение товаров (акты приема-передачи товара);</w:t>
      </w:r>
    </w:p>
    <w:p w:rsidR="00BB37A2" w:rsidRDefault="00340633">
      <w:pPr>
        <w:spacing w:afterAutospacing="1"/>
        <w:ind w:left="1134"/>
        <w:jc w:val="both"/>
        <w:rPr>
          <w:sz w:val="28"/>
        </w:rPr>
      </w:pPr>
      <w:r>
        <w:rPr>
          <w:sz w:val="28"/>
        </w:rPr>
        <w:t>ж) акты о выполненных работах, оказанных услугах;</w:t>
      </w:r>
    </w:p>
    <w:p w:rsidR="00BB37A2" w:rsidRDefault="00340633">
      <w:pPr>
        <w:spacing w:afterAutospacing="1"/>
        <w:ind w:left="1134"/>
        <w:jc w:val="both"/>
        <w:rPr>
          <w:sz w:val="28"/>
        </w:rPr>
      </w:pPr>
      <w:r>
        <w:rPr>
          <w:sz w:val="28"/>
        </w:rPr>
        <w:t>з) эфирные справки;</w:t>
      </w:r>
    </w:p>
    <w:p w:rsidR="00BB37A2" w:rsidRDefault="00340633">
      <w:pPr>
        <w:spacing w:afterAutospacing="1"/>
        <w:ind w:left="1134"/>
        <w:jc w:val="both"/>
        <w:rPr>
          <w:sz w:val="28"/>
        </w:rPr>
      </w:pPr>
      <w:r>
        <w:rPr>
          <w:sz w:val="28"/>
        </w:rPr>
        <w:t xml:space="preserve">и) расходные </w:t>
      </w:r>
      <w:r>
        <w:rPr>
          <w:sz w:val="28"/>
        </w:rPr>
        <w:t>и приходные кассовые ордера;</w:t>
      </w:r>
    </w:p>
    <w:p w:rsidR="00BB37A2" w:rsidRDefault="00340633">
      <w:pPr>
        <w:spacing w:afterAutospacing="1"/>
        <w:ind w:left="1134"/>
        <w:jc w:val="both"/>
        <w:rPr>
          <w:sz w:val="28"/>
        </w:rPr>
      </w:pPr>
      <w:r>
        <w:rPr>
          <w:sz w:val="28"/>
        </w:rPr>
        <w:t>к) чеки контрольно-кассовых машин.</w:t>
      </w:r>
    </w:p>
    <w:p w:rsidR="00BB37A2" w:rsidRDefault="00BB37A2">
      <w:pPr>
        <w:spacing w:line="276" w:lineRule="auto"/>
        <w:jc w:val="both"/>
        <w:rPr>
          <w:sz w:val="24"/>
        </w:rPr>
      </w:pPr>
    </w:p>
    <w:sectPr w:rsidR="00BB37A2">
      <w:pgSz w:w="11906" w:h="16838"/>
      <w:pgMar w:top="567" w:right="567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56845"/>
    <w:multiLevelType w:val="multilevel"/>
    <w:tmpl w:val="CE76180E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BB37A2"/>
    <w:rsid w:val="00340633"/>
    <w:rsid w:val="00BB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No Spacing"/>
    <w:link w:val="a6"/>
  </w:style>
  <w:style w:type="character" w:customStyle="1" w:styleId="a6">
    <w:name w:val="Без интервала Знак"/>
    <w:link w:val="a5"/>
  </w:style>
  <w:style w:type="paragraph" w:customStyle="1" w:styleId="13">
    <w:name w:val="Знак сноски1"/>
    <w:link w:val="a7"/>
    <w:rPr>
      <w:vertAlign w:val="superscript"/>
    </w:rPr>
  </w:style>
  <w:style w:type="character" w:styleId="a7">
    <w:name w:val="footnote reference"/>
    <w:link w:val="13"/>
    <w:rPr>
      <w:vertAlign w:val="superscript"/>
    </w:rPr>
  </w:style>
  <w:style w:type="paragraph" w:customStyle="1" w:styleId="Iauiue2">
    <w:name w:val="Iau?iue2"/>
    <w:link w:val="Iauiue20"/>
    <w:pPr>
      <w:widowControl w:val="0"/>
      <w:spacing w:line="360" w:lineRule="auto"/>
      <w:ind w:firstLine="567"/>
      <w:jc w:val="both"/>
    </w:pPr>
    <w:rPr>
      <w:rFonts w:ascii="Courier" w:hAnsi="Courier"/>
      <w:sz w:val="26"/>
    </w:rPr>
  </w:style>
  <w:style w:type="character" w:customStyle="1" w:styleId="Iauiue20">
    <w:name w:val="Iau?iue2"/>
    <w:link w:val="Iauiue2"/>
    <w:rPr>
      <w:rFonts w:ascii="Courier" w:hAnsi="Courier"/>
      <w:sz w:val="26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  <w:rPr>
      <w:sz w:val="24"/>
    </w:rPr>
  </w:style>
  <w:style w:type="character" w:customStyle="1" w:styleId="a9">
    <w:name w:val="Рабочий"/>
    <w:basedOn w:val="1"/>
    <w:link w:val="a8"/>
    <w:rPr>
      <w:sz w:val="24"/>
    </w:rPr>
  </w:style>
  <w:style w:type="paragraph" w:customStyle="1" w:styleId="ConsPlusTitle">
    <w:name w:val="ConsPlusTitle"/>
    <w:link w:val="ConsPlusTitle0"/>
    <w:pPr>
      <w:widowControl w:val="0"/>
    </w:pPr>
    <w:rPr>
      <w:b/>
      <w:sz w:val="26"/>
    </w:rPr>
  </w:style>
  <w:style w:type="character" w:customStyle="1" w:styleId="ConsPlusTitle0">
    <w:name w:val="ConsPlusTitle"/>
    <w:link w:val="ConsPlusTitle"/>
    <w:rPr>
      <w:b/>
      <w:sz w:val="2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</w:style>
  <w:style w:type="character" w:customStyle="1" w:styleId="Footnote0">
    <w:name w:val="Footnote"/>
    <w:basedOn w:val="1"/>
    <w:link w:val="Footnote"/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b">
    <w:name w:val="List Paragraph"/>
    <w:basedOn w:val="a"/>
    <w:link w:val="ac"/>
    <w:pPr>
      <w:ind w:left="720"/>
      <w:contextualSpacing/>
      <w:jc w:val="center"/>
    </w:pPr>
    <w:rPr>
      <w:sz w:val="28"/>
    </w:rPr>
  </w:style>
  <w:style w:type="character" w:customStyle="1" w:styleId="ac">
    <w:name w:val="Абзац списка Знак"/>
    <w:basedOn w:val="1"/>
    <w:link w:val="ab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</w:style>
  <w:style w:type="paragraph" w:styleId="af">
    <w:name w:val="Title"/>
    <w:basedOn w:val="a"/>
    <w:link w:val="af0"/>
    <w:uiPriority w:val="10"/>
    <w:qFormat/>
    <w:pPr>
      <w:jc w:val="center"/>
    </w:pPr>
    <w:rPr>
      <w:b/>
      <w:sz w:val="28"/>
    </w:rPr>
  </w:style>
  <w:style w:type="character" w:customStyle="1" w:styleId="af0">
    <w:name w:val="Название Знак"/>
    <w:basedOn w:val="1"/>
    <w:link w:val="af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1">
    <w:name w:val="Body Text Indent"/>
    <w:basedOn w:val="a"/>
    <w:link w:val="af2"/>
    <w:pPr>
      <w:ind w:firstLine="851"/>
      <w:jc w:val="both"/>
    </w:pPr>
    <w:rPr>
      <w:sz w:val="28"/>
    </w:r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table" w:styleId="af3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No Spacing"/>
    <w:link w:val="a6"/>
  </w:style>
  <w:style w:type="character" w:customStyle="1" w:styleId="a6">
    <w:name w:val="Без интервала Знак"/>
    <w:link w:val="a5"/>
  </w:style>
  <w:style w:type="paragraph" w:customStyle="1" w:styleId="13">
    <w:name w:val="Знак сноски1"/>
    <w:link w:val="a7"/>
    <w:rPr>
      <w:vertAlign w:val="superscript"/>
    </w:rPr>
  </w:style>
  <w:style w:type="character" w:styleId="a7">
    <w:name w:val="footnote reference"/>
    <w:link w:val="13"/>
    <w:rPr>
      <w:vertAlign w:val="superscript"/>
    </w:rPr>
  </w:style>
  <w:style w:type="paragraph" w:customStyle="1" w:styleId="Iauiue2">
    <w:name w:val="Iau?iue2"/>
    <w:link w:val="Iauiue20"/>
    <w:pPr>
      <w:widowControl w:val="0"/>
      <w:spacing w:line="360" w:lineRule="auto"/>
      <w:ind w:firstLine="567"/>
      <w:jc w:val="both"/>
    </w:pPr>
    <w:rPr>
      <w:rFonts w:ascii="Courier" w:hAnsi="Courier"/>
      <w:sz w:val="26"/>
    </w:rPr>
  </w:style>
  <w:style w:type="character" w:customStyle="1" w:styleId="Iauiue20">
    <w:name w:val="Iau?iue2"/>
    <w:link w:val="Iauiue2"/>
    <w:rPr>
      <w:rFonts w:ascii="Courier" w:hAnsi="Courier"/>
      <w:sz w:val="26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  <w:rPr>
      <w:sz w:val="24"/>
    </w:rPr>
  </w:style>
  <w:style w:type="character" w:customStyle="1" w:styleId="a9">
    <w:name w:val="Рабочий"/>
    <w:basedOn w:val="1"/>
    <w:link w:val="a8"/>
    <w:rPr>
      <w:sz w:val="24"/>
    </w:rPr>
  </w:style>
  <w:style w:type="paragraph" w:customStyle="1" w:styleId="ConsPlusTitle">
    <w:name w:val="ConsPlusTitle"/>
    <w:link w:val="ConsPlusTitle0"/>
    <w:pPr>
      <w:widowControl w:val="0"/>
    </w:pPr>
    <w:rPr>
      <w:b/>
      <w:sz w:val="26"/>
    </w:rPr>
  </w:style>
  <w:style w:type="character" w:customStyle="1" w:styleId="ConsPlusTitle0">
    <w:name w:val="ConsPlusTitle"/>
    <w:link w:val="ConsPlusTitle"/>
    <w:rPr>
      <w:b/>
      <w:sz w:val="2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</w:style>
  <w:style w:type="character" w:customStyle="1" w:styleId="Footnote0">
    <w:name w:val="Footnote"/>
    <w:basedOn w:val="1"/>
    <w:link w:val="Footnote"/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b">
    <w:name w:val="List Paragraph"/>
    <w:basedOn w:val="a"/>
    <w:link w:val="ac"/>
    <w:pPr>
      <w:ind w:left="720"/>
      <w:contextualSpacing/>
      <w:jc w:val="center"/>
    </w:pPr>
    <w:rPr>
      <w:sz w:val="28"/>
    </w:rPr>
  </w:style>
  <w:style w:type="character" w:customStyle="1" w:styleId="ac">
    <w:name w:val="Абзац списка Знак"/>
    <w:basedOn w:val="1"/>
    <w:link w:val="ab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</w:style>
  <w:style w:type="paragraph" w:styleId="af">
    <w:name w:val="Title"/>
    <w:basedOn w:val="a"/>
    <w:link w:val="af0"/>
    <w:uiPriority w:val="10"/>
    <w:qFormat/>
    <w:pPr>
      <w:jc w:val="center"/>
    </w:pPr>
    <w:rPr>
      <w:b/>
      <w:sz w:val="28"/>
    </w:rPr>
  </w:style>
  <w:style w:type="character" w:customStyle="1" w:styleId="af0">
    <w:name w:val="Название Знак"/>
    <w:basedOn w:val="1"/>
    <w:link w:val="af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1">
    <w:name w:val="Body Text Indent"/>
    <w:basedOn w:val="a"/>
    <w:link w:val="af2"/>
    <w:pPr>
      <w:ind w:firstLine="851"/>
      <w:jc w:val="both"/>
    </w:pPr>
    <w:rPr>
      <w:sz w:val="28"/>
    </w:r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table" w:styleId="af3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2024-07-02T13:45:00Z</dcterms:created>
  <dcterms:modified xsi:type="dcterms:W3CDTF">2024-07-02T13:45:00Z</dcterms:modified>
</cp:coreProperties>
</file>