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1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1"/>
        <w:ind w:firstLine="0" w:left="0"/>
        <w:jc w:val="center"/>
        <w:outlineLvl w:val="0"/>
        <w:rPr>
          <w:rFonts w:ascii="Times New Roman" w:hAnsi="Times New Roman"/>
          <w:b w:val="1"/>
          <w:sz w:val="28"/>
        </w:rPr>
      </w:pPr>
    </w:p>
    <w:p w14:paraId="07000000">
      <w:pPr>
        <w:widowControl w:val="1"/>
        <w:ind w:firstLine="0" w:left="0"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01 июля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2026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  </w:t>
      </w:r>
      <w:r>
        <w:rPr>
          <w:rFonts w:ascii="Times New Roman" w:hAnsi="Times New Roman"/>
          <w:color w:themeColor="text1" w:val="000000"/>
          <w:sz w:val="28"/>
        </w:rPr>
        <w:t xml:space="preserve">       № 4</w:t>
      </w:r>
      <w:r>
        <w:rPr>
          <w:rFonts w:ascii="Times New Roman" w:hAnsi="Times New Roman"/>
          <w:color w:themeColor="text1" w:val="000000"/>
          <w:sz w:val="28"/>
        </w:rPr>
        <w:t>-9</w:t>
      </w:r>
    </w:p>
    <w:p w14:paraId="08000000">
      <w:pPr>
        <w:widowControl w:val="1"/>
        <w:ind w:right="175"/>
        <w:jc w:val="center"/>
      </w:pPr>
      <w:r>
        <w:rPr>
          <w:rFonts w:ascii="Times New Roman" w:hAnsi="Times New Roman"/>
          <w:color w:themeColor="text1" w:val="000000"/>
          <w:sz w:val="28"/>
        </w:rPr>
        <w:t>г. Таганрог</w:t>
      </w:r>
    </w:p>
    <w:p w14:paraId="09000000">
      <w:pPr>
        <w:widowControl w:val="1"/>
        <w:ind/>
        <w:jc w:val="center"/>
      </w:pPr>
    </w:p>
    <w:tbl>
      <w:tblPr>
        <w:tblStyle w:val="Style_1"/>
        <w:tblW w:type="auto" w:w="0"/>
        <w:jc w:val="center"/>
        <w:tblLayout w:type="fixed"/>
      </w:tblPr>
      <w:tblGrid>
        <w:gridCol w:w="7427"/>
      </w:tblGrid>
      <w:tr>
        <w:trPr>
          <w:trHeight w:hRule="atLeast" w:val="1951"/>
        </w:trPr>
        <w:tc>
          <w:tcPr>
            <w:tcW w:type="dxa" w:w="7427"/>
          </w:tcPr>
          <w:p w14:paraId="0A000000">
            <w:pPr>
              <w:widowControl w:val="1"/>
              <w:ind/>
              <w:jc w:val="both"/>
              <w:rPr>
                <w:b w:val="1"/>
              </w:rPr>
            </w:pPr>
            <w:r>
              <w:rPr>
                <w:b w:val="1"/>
              </w:rPr>
              <w:t>О Рабочей группе Территориальной избирательной комиссии города Таганрога (восточная) Ростовской области по рассмотрению жалоб (заявлений) на решения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 xml:space="preserve">и действия (бездействие) нижестоящих избирательных комиссий и их должностных лиц, нарушающие избирательные права граждан </w:t>
            </w:r>
            <w:r>
              <w:rPr>
                <w:b w:val="1"/>
              </w:rPr>
              <w:t>в ходе избирательной кампании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 xml:space="preserve">по </w:t>
            </w:r>
            <w:r>
              <w:rPr>
                <w:b w:val="1"/>
              </w:rPr>
              <w:t>выбор</w:t>
            </w:r>
            <w:r>
              <w:rPr>
                <w:b w:val="1"/>
              </w:rPr>
              <w:t>ам</w:t>
            </w:r>
            <w:r>
              <w:rPr>
                <w:b w:val="1"/>
              </w:rPr>
              <w:t xml:space="preserve">  депутатов Государственной Думы Федерального Собрания Российской Федерации девятого созыва</w:t>
            </w:r>
          </w:p>
        </w:tc>
      </w:tr>
    </w:tbl>
    <w:p w14:paraId="0B000000">
      <w:pPr>
        <w:widowControl w:val="1"/>
        <w:ind w:right="1416"/>
        <w:jc w:val="both"/>
        <w:rPr>
          <w:b w:val="1"/>
        </w:rPr>
      </w:pPr>
    </w:p>
    <w:p w14:paraId="0C000000">
      <w:pPr>
        <w:pStyle w:val="Style_2"/>
        <w:widowControl w:val="1"/>
        <w:spacing w:line="240" w:lineRule="auto"/>
        <w:ind w:firstLine="708"/>
        <w:rPr>
          <w:sz w:val="28"/>
        </w:rPr>
      </w:pPr>
      <w:r>
        <w:rPr>
          <w:sz w:val="28"/>
        </w:rPr>
        <w:t xml:space="preserve">В целях реализации полномочий </w:t>
      </w:r>
      <w:r>
        <w:rPr>
          <w:sz w:val="28"/>
        </w:rPr>
        <w:t>Территориальной и</w:t>
      </w:r>
      <w:r>
        <w:rPr>
          <w:sz w:val="28"/>
        </w:rPr>
        <w:t>збирательной комиссии</w:t>
      </w:r>
      <w:r>
        <w:rPr>
          <w:sz w:val="28"/>
        </w:rPr>
        <w:t xml:space="preserve"> города Таганрога (восточная) Ростовской области</w:t>
      </w:r>
      <w:r>
        <w:rPr>
          <w:sz w:val="28"/>
        </w:rPr>
        <w:t xml:space="preserve"> по контролю </w:t>
      </w:r>
      <w:r>
        <w:rPr>
          <w:sz w:val="28"/>
        </w:rPr>
        <w:br/>
      </w:r>
      <w:r>
        <w:rPr>
          <w:sz w:val="28"/>
        </w:rPr>
        <w:t xml:space="preserve">за соблюдением избирательных прав граждан Российской Федерации </w:t>
      </w:r>
      <w:r>
        <w:rPr>
          <w:sz w:val="28"/>
        </w:rPr>
        <w:br/>
      </w:r>
      <w:r>
        <w:rPr>
          <w:sz w:val="28"/>
        </w:rPr>
        <w:t xml:space="preserve">на территории </w:t>
      </w:r>
      <w:r>
        <w:rPr>
          <w:sz w:val="28"/>
        </w:rPr>
        <w:t>города Таганрога (восточная) Ростовской области</w:t>
      </w:r>
      <w:r>
        <w:rPr>
          <w:sz w:val="28"/>
        </w:rPr>
        <w:t xml:space="preserve"> установленных стать</w:t>
      </w:r>
      <w:r>
        <w:rPr>
          <w:sz w:val="28"/>
        </w:rPr>
        <w:t>ей</w:t>
      </w:r>
      <w:r>
        <w:rPr>
          <w:sz w:val="28"/>
        </w:rPr>
        <w:t xml:space="preserve"> </w:t>
      </w:r>
      <w:r>
        <w:rPr>
          <w:sz w:val="28"/>
        </w:rPr>
        <w:t>30</w:t>
      </w:r>
      <w:r>
        <w:rPr>
          <w:sz w:val="28"/>
        </w:rPr>
        <w:t xml:space="preserve"> Федерального закона от 22.02.2014 № 20-ФЗ «О выборах депутатов Государственной Думы Федерального Собрания Российской Федерации», </w:t>
      </w:r>
      <w:r>
        <w:rPr>
          <w:sz w:val="28"/>
        </w:rPr>
        <w:t>пунктом 9</w:t>
      </w:r>
      <w:r>
        <w:rPr>
          <w:sz w:val="28"/>
        </w:rPr>
        <w:t xml:space="preserve"> статьи 26, статей 28</w:t>
      </w:r>
      <w:r>
        <w:rPr>
          <w:sz w:val="28"/>
          <w:vertAlign w:val="superscript"/>
        </w:rPr>
        <w:t>1</w:t>
      </w:r>
      <w:r>
        <w:rPr>
          <w:sz w:val="28"/>
        </w:rPr>
        <w:t xml:space="preserve"> </w:t>
      </w:r>
      <w:r>
        <w:rPr>
          <w:sz w:val="28"/>
        </w:rPr>
        <w:t>и пунктами 6,7 статьи 75</w:t>
      </w:r>
      <w:r>
        <w:rPr>
          <w:sz w:val="28"/>
        </w:rPr>
        <w:t xml:space="preserve">  </w:t>
      </w:r>
      <w:r>
        <w:rPr>
          <w:sz w:val="28"/>
        </w:rPr>
        <w:t xml:space="preserve">Федерального закона </w:t>
      </w:r>
      <w:r>
        <w:rPr>
          <w:sz w:val="28"/>
        </w:rPr>
        <w:t>от 12.06.2002 № 67-ФЗ «Об основных гарантиях избирательных</w:t>
      </w:r>
      <w:r>
        <w:rPr>
          <w:sz w:val="28"/>
        </w:rPr>
        <w:t xml:space="preserve"> прав и права </w:t>
      </w:r>
      <w:r>
        <w:rPr>
          <w:sz w:val="28"/>
        </w:rPr>
        <w:t xml:space="preserve">на участие в референдуме граждан Российской Федерации», </w:t>
      </w:r>
      <w:r>
        <w:rPr>
          <w:sz w:val="28"/>
        </w:rPr>
        <w:t>Территориальная избирательная комиссия  города Таганрога (восточная) Ростовской области</w:t>
      </w:r>
    </w:p>
    <w:p w14:paraId="0D000000">
      <w:pPr>
        <w:pStyle w:val="Style_2"/>
        <w:widowControl w:val="1"/>
        <w:spacing w:line="240" w:lineRule="auto"/>
        <w:ind w:firstLine="708"/>
        <w:rPr>
          <w:sz w:val="28"/>
        </w:rPr>
      </w:pPr>
    </w:p>
    <w:p w14:paraId="0E000000">
      <w:pPr>
        <w:pStyle w:val="Style_2"/>
        <w:widowControl w:val="1"/>
        <w:spacing w:line="240" w:lineRule="auto"/>
        <w:ind w:firstLine="708"/>
        <w:jc w:val="center"/>
        <w:rPr>
          <w:sz w:val="28"/>
        </w:rPr>
      </w:pPr>
      <w:r>
        <w:rPr>
          <w:sz w:val="28"/>
        </w:rPr>
        <w:t xml:space="preserve"> ПОСТАНОВЛЯЕТ:</w:t>
      </w:r>
    </w:p>
    <w:p w14:paraId="0F000000">
      <w:pPr>
        <w:widowControl w:val="1"/>
        <w:ind w:firstLine="708"/>
        <w:jc w:val="center"/>
      </w:pPr>
    </w:p>
    <w:p w14:paraId="10000000">
      <w:pPr>
        <w:pStyle w:val="Style_3"/>
        <w:widowControl w:val="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8"/>
        </w:rPr>
      </w:pPr>
      <w:bookmarkStart w:id="1" w:name="_Hlk200718905"/>
      <w:r>
        <w:rPr>
          <w:rFonts w:ascii="Times New Roman" w:hAnsi="Times New Roman"/>
          <w:sz w:val="28"/>
        </w:rPr>
        <w:t xml:space="preserve">Утвердить Положение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Рабочей группе Территориальной избирательной комиссии города Таганрога (восточная) Ростовской области по рассмотрению жалоб (заявлений) на</w:t>
      </w:r>
      <w:r>
        <w:rPr>
          <w:rFonts w:ascii="Times New Roman" w:hAnsi="Times New Roman"/>
          <w:sz w:val="28"/>
        </w:rPr>
        <w:t xml:space="preserve"> решения </w:t>
      </w:r>
      <w:r>
        <w:rPr>
          <w:rFonts w:ascii="Times New Roman" w:hAnsi="Times New Roman"/>
          <w:sz w:val="28"/>
        </w:rPr>
        <w:t>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приложению № 1.</w:t>
      </w:r>
    </w:p>
    <w:p w14:paraId="11000000">
      <w:pPr>
        <w:pStyle w:val="Style_3"/>
        <w:widowControl w:val="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Создать Рабочую группу </w:t>
      </w:r>
      <w:r>
        <w:rPr>
          <w:rFonts w:ascii="Times New Roman" w:hAnsi="Times New Roman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  <w:r>
        <w:rPr>
          <w:rFonts w:ascii="Times New Roman" w:hAnsi="Times New Roman"/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 утвердить ее состав </w:t>
      </w:r>
      <w:bookmarkEnd w:id="1"/>
      <w:r>
        <w:rPr>
          <w:rFonts w:ascii="Times New Roman" w:hAnsi="Times New Roman"/>
          <w:sz w:val="28"/>
        </w:rPr>
        <w:t xml:space="preserve">согласно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приложению № 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3"/>
        <w:widowControl w:val="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</w:rPr>
        <w:t xml:space="preserve">города Таганрога (восточная) Ростовской области </w:t>
      </w:r>
      <w:r>
        <w:rPr>
          <w:rFonts w:ascii="Times New Roman" w:hAnsi="Times New Roman"/>
          <w:sz w:val="28"/>
        </w:rPr>
        <w:t>в информационно – телекоммуникационной сети «Интернет».</w:t>
      </w:r>
    </w:p>
    <w:p w14:paraId="13000000">
      <w:pPr>
        <w:pStyle w:val="Style_3"/>
        <w:widowControl w:val="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выполнением настоящего постановления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возложить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Ю.В. Романенко.</w:t>
      </w:r>
    </w:p>
    <w:p w14:paraId="14000000">
      <w:pPr>
        <w:pStyle w:val="Style_3"/>
        <w:widowControl w:val="1"/>
        <w:ind w:left="360"/>
        <w:jc w:val="both"/>
        <w:rPr>
          <w:rFonts w:ascii="Times New Roman" w:hAnsi="Times New Roman"/>
          <w:sz w:val="28"/>
        </w:rPr>
      </w:pPr>
    </w:p>
    <w:p w14:paraId="15000000"/>
    <w:tbl>
      <w:tblPr>
        <w:tblStyle w:val="Style_1"/>
        <w:tblW w:type="auto" w:w="0"/>
        <w:tblLayout w:type="fixed"/>
        <w:tblCellMar>
          <w:left w:type="dxa" w:w="70"/>
          <w:right w:type="dxa" w:w="70"/>
        </w:tblCellMar>
      </w:tblPr>
      <w:tblGrid>
        <w:gridCol w:w="7300"/>
        <w:gridCol w:w="2505"/>
      </w:tblGrid>
      <w:tr>
        <w:tc>
          <w:tcPr>
            <w:tcW w:type="dxa" w:w="7300"/>
            <w:tcMar>
              <w:left w:type="dxa" w:w="70"/>
              <w:right w:type="dxa" w:w="70"/>
            </w:tcMar>
          </w:tcPr>
          <w:p w14:paraId="16000000">
            <w:r>
              <w:t xml:space="preserve">Председатель комиссии </w:t>
            </w:r>
          </w:p>
        </w:tc>
        <w:tc>
          <w:tcPr>
            <w:tcW w:type="dxa" w:w="2505"/>
            <w:tcMar>
              <w:left w:type="dxa" w:w="70"/>
              <w:right w:type="dxa" w:w="70"/>
            </w:tcMar>
            <w:vAlign w:val="bottom"/>
          </w:tcPr>
          <w:p w14:paraId="17000000">
            <w:r>
              <w:t xml:space="preserve"> В.Г. Ерасов</w:t>
            </w:r>
          </w:p>
          <w:p w14:paraId="18000000"/>
        </w:tc>
      </w:tr>
      <w:tr>
        <w:tc>
          <w:tcPr>
            <w:tcW w:type="dxa" w:w="7300"/>
            <w:tcMar>
              <w:left w:type="dxa" w:w="70"/>
              <w:right w:type="dxa" w:w="70"/>
            </w:tcMar>
          </w:tcPr>
          <w:p w14:paraId="19000000">
            <w:r>
              <w:t xml:space="preserve">Секретарь </w:t>
            </w:r>
            <w:r>
              <w:t>комиссии</w:t>
            </w:r>
          </w:p>
        </w:tc>
        <w:tc>
          <w:tcPr>
            <w:tcW w:type="dxa" w:w="2505"/>
            <w:tcMar>
              <w:left w:type="dxa" w:w="70"/>
              <w:right w:type="dxa" w:w="70"/>
            </w:tcMar>
            <w:vAlign w:val="bottom"/>
          </w:tcPr>
          <w:p w14:paraId="1A000000">
            <w:pPr>
              <w:rPr>
                <w:highlight w:val="yellow"/>
              </w:rPr>
            </w:pPr>
            <w:r>
              <w:t xml:space="preserve"> Ю.В. Романенко</w:t>
            </w:r>
          </w:p>
        </w:tc>
      </w:tr>
    </w:tbl>
    <w:p w14:paraId="1B000000"/>
    <w:p w14:paraId="1C000000">
      <w:pPr>
        <w:widowControl w:val="0"/>
        <w:ind w:left="5812"/>
        <w:jc w:val="center"/>
      </w:pPr>
    </w:p>
    <w:p w14:paraId="1D000000">
      <w:pPr>
        <w:widowControl w:val="0"/>
        <w:ind w:left="5812"/>
        <w:jc w:val="center"/>
      </w:pPr>
    </w:p>
    <w:p w14:paraId="1E000000">
      <w:pPr>
        <w:widowControl w:val="0"/>
        <w:ind w:left="5812"/>
        <w:jc w:val="center"/>
      </w:pPr>
    </w:p>
    <w:p w14:paraId="1F000000">
      <w:pPr>
        <w:widowControl w:val="0"/>
        <w:ind w:left="5812"/>
        <w:jc w:val="center"/>
      </w:pPr>
    </w:p>
    <w:p w14:paraId="20000000">
      <w:pPr>
        <w:widowControl w:val="0"/>
        <w:ind w:left="5812"/>
        <w:jc w:val="center"/>
      </w:pPr>
    </w:p>
    <w:p w14:paraId="21000000">
      <w:pPr>
        <w:widowControl w:val="0"/>
        <w:ind w:left="5812"/>
        <w:jc w:val="center"/>
      </w:pPr>
    </w:p>
    <w:p w14:paraId="22000000">
      <w:pPr>
        <w:widowControl w:val="0"/>
        <w:ind w:left="5812"/>
        <w:jc w:val="center"/>
      </w:pPr>
    </w:p>
    <w:p w14:paraId="23000000">
      <w:pPr>
        <w:widowControl w:val="0"/>
        <w:ind w:left="5812"/>
        <w:jc w:val="center"/>
      </w:pPr>
    </w:p>
    <w:p w14:paraId="24000000">
      <w:pPr>
        <w:widowControl w:val="0"/>
        <w:ind w:left="5812"/>
        <w:jc w:val="center"/>
      </w:pPr>
    </w:p>
    <w:p w14:paraId="25000000">
      <w:pPr>
        <w:widowControl w:val="0"/>
        <w:ind w:left="5812"/>
        <w:jc w:val="center"/>
      </w:pPr>
    </w:p>
    <w:p w14:paraId="26000000">
      <w:pPr>
        <w:widowControl w:val="0"/>
        <w:ind w:left="5812"/>
        <w:jc w:val="center"/>
      </w:pPr>
    </w:p>
    <w:p w14:paraId="27000000">
      <w:pPr>
        <w:widowControl w:val="0"/>
        <w:ind w:left="5812"/>
        <w:jc w:val="center"/>
      </w:pPr>
    </w:p>
    <w:p w14:paraId="28000000">
      <w:pPr>
        <w:widowControl w:val="0"/>
        <w:ind w:left="5812"/>
        <w:jc w:val="center"/>
      </w:pPr>
    </w:p>
    <w:p w14:paraId="29000000">
      <w:pPr>
        <w:widowControl w:val="0"/>
        <w:ind w:left="5954"/>
        <w:jc w:val="center"/>
        <w:rPr>
          <w:sz w:val="24"/>
        </w:rPr>
      </w:pPr>
    </w:p>
    <w:p w14:paraId="2A000000">
      <w:pPr>
        <w:widowControl w:val="0"/>
        <w:ind w:left="5954"/>
        <w:jc w:val="center"/>
        <w:rPr>
          <w:sz w:val="24"/>
        </w:rPr>
      </w:pPr>
    </w:p>
    <w:p w14:paraId="2B000000">
      <w:pPr>
        <w:widowControl w:val="0"/>
        <w:ind w:left="5954"/>
        <w:jc w:val="center"/>
        <w:rPr>
          <w:sz w:val="24"/>
        </w:rPr>
      </w:pPr>
    </w:p>
    <w:p w14:paraId="2C000000">
      <w:pPr>
        <w:widowControl w:val="0"/>
        <w:ind w:left="5954"/>
        <w:jc w:val="center"/>
        <w:rPr>
          <w:sz w:val="24"/>
        </w:rPr>
      </w:pPr>
    </w:p>
    <w:p w14:paraId="2D000000">
      <w:pPr>
        <w:widowControl w:val="0"/>
        <w:ind w:left="5954"/>
        <w:jc w:val="center"/>
        <w:rPr>
          <w:sz w:val="24"/>
        </w:rPr>
      </w:pPr>
    </w:p>
    <w:p w14:paraId="2E000000">
      <w:pPr>
        <w:widowControl w:val="0"/>
        <w:ind w:left="5954"/>
        <w:jc w:val="center"/>
        <w:rPr>
          <w:sz w:val="24"/>
        </w:rPr>
      </w:pPr>
    </w:p>
    <w:p w14:paraId="2F000000">
      <w:pPr>
        <w:widowControl w:val="0"/>
        <w:ind w:left="5954"/>
        <w:jc w:val="center"/>
        <w:rPr>
          <w:sz w:val="24"/>
        </w:rPr>
      </w:pPr>
    </w:p>
    <w:p w14:paraId="30000000">
      <w:pPr>
        <w:widowControl w:val="0"/>
        <w:ind w:left="5954"/>
        <w:jc w:val="center"/>
        <w:rPr>
          <w:sz w:val="24"/>
        </w:rPr>
      </w:pPr>
    </w:p>
    <w:p w14:paraId="31000000">
      <w:pPr>
        <w:widowControl w:val="0"/>
        <w:ind w:left="5954"/>
        <w:jc w:val="center"/>
        <w:rPr>
          <w:sz w:val="24"/>
        </w:rPr>
      </w:pPr>
    </w:p>
    <w:p w14:paraId="32000000">
      <w:pPr>
        <w:widowControl w:val="0"/>
        <w:ind w:left="5954"/>
        <w:jc w:val="center"/>
        <w:rPr>
          <w:sz w:val="24"/>
        </w:rPr>
      </w:pPr>
    </w:p>
    <w:p w14:paraId="33000000">
      <w:pPr>
        <w:widowControl w:val="0"/>
        <w:ind w:left="5954"/>
        <w:jc w:val="center"/>
        <w:rPr>
          <w:sz w:val="24"/>
        </w:rPr>
      </w:pPr>
    </w:p>
    <w:p w14:paraId="34000000">
      <w:pPr>
        <w:widowControl w:val="0"/>
        <w:ind w:left="5954"/>
        <w:jc w:val="center"/>
        <w:rPr>
          <w:sz w:val="24"/>
        </w:rPr>
      </w:pPr>
    </w:p>
    <w:p w14:paraId="35000000">
      <w:pPr>
        <w:widowControl w:val="0"/>
        <w:ind w:left="5954"/>
        <w:jc w:val="center"/>
        <w:rPr>
          <w:sz w:val="24"/>
        </w:rPr>
      </w:pPr>
    </w:p>
    <w:p w14:paraId="36000000">
      <w:pPr>
        <w:widowControl w:val="0"/>
        <w:ind w:left="5954"/>
        <w:jc w:val="center"/>
        <w:rPr>
          <w:sz w:val="24"/>
        </w:rPr>
      </w:pPr>
    </w:p>
    <w:p w14:paraId="37000000">
      <w:pPr>
        <w:widowControl w:val="0"/>
        <w:ind w:left="5954"/>
        <w:jc w:val="center"/>
        <w:rPr>
          <w:sz w:val="24"/>
        </w:rPr>
      </w:pPr>
    </w:p>
    <w:p w14:paraId="38000000">
      <w:pPr>
        <w:widowControl w:val="0"/>
        <w:ind w:left="5954"/>
        <w:jc w:val="center"/>
        <w:rPr>
          <w:sz w:val="24"/>
        </w:rPr>
      </w:pPr>
    </w:p>
    <w:p w14:paraId="39000000">
      <w:pPr>
        <w:widowControl w:val="0"/>
        <w:ind w:left="5954"/>
        <w:jc w:val="center"/>
        <w:rPr>
          <w:sz w:val="24"/>
        </w:rPr>
      </w:pPr>
    </w:p>
    <w:p w14:paraId="3A000000">
      <w:pPr>
        <w:widowControl w:val="0"/>
        <w:ind w:left="5954"/>
        <w:jc w:val="center"/>
        <w:rPr>
          <w:sz w:val="24"/>
        </w:rPr>
      </w:pPr>
    </w:p>
    <w:p w14:paraId="3B000000">
      <w:pPr>
        <w:widowControl w:val="0"/>
        <w:ind w:left="5954"/>
        <w:jc w:val="center"/>
        <w:rPr>
          <w:sz w:val="24"/>
        </w:rPr>
      </w:pPr>
    </w:p>
    <w:p w14:paraId="3C000000">
      <w:pPr>
        <w:widowControl w:val="0"/>
        <w:ind w:left="5954"/>
        <w:jc w:val="center"/>
        <w:rPr>
          <w:sz w:val="24"/>
        </w:rPr>
      </w:pPr>
    </w:p>
    <w:p w14:paraId="3D000000">
      <w:pPr>
        <w:widowControl w:val="0"/>
        <w:ind w:left="5954"/>
        <w:jc w:val="center"/>
        <w:rPr>
          <w:sz w:val="24"/>
        </w:rPr>
      </w:pPr>
    </w:p>
    <w:p w14:paraId="3E000000">
      <w:pPr>
        <w:widowControl w:val="0"/>
        <w:ind w:left="5954"/>
        <w:jc w:val="center"/>
        <w:rPr>
          <w:sz w:val="24"/>
        </w:rPr>
      </w:pPr>
    </w:p>
    <w:p w14:paraId="3F000000">
      <w:pPr>
        <w:widowControl w:val="0"/>
        <w:ind w:left="5954"/>
        <w:jc w:val="center"/>
        <w:rPr>
          <w:sz w:val="24"/>
        </w:rPr>
      </w:pPr>
      <w:r>
        <w:rPr>
          <w:sz w:val="24"/>
        </w:rPr>
        <w:t xml:space="preserve">Приложение № </w:t>
      </w:r>
      <w:r>
        <w:rPr>
          <w:sz w:val="24"/>
        </w:rPr>
        <w:t>1</w:t>
      </w:r>
    </w:p>
    <w:p w14:paraId="40000000">
      <w:pPr>
        <w:widowControl w:val="0"/>
        <w:ind w:left="5954"/>
        <w:jc w:val="center"/>
        <w:rPr>
          <w:sz w:val="24"/>
        </w:rPr>
      </w:pPr>
    </w:p>
    <w:p w14:paraId="41000000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УТВЕРЖДЕН</w:t>
      </w:r>
      <w:r>
        <w:rPr>
          <w:sz w:val="24"/>
        </w:rPr>
        <w:t>О</w:t>
      </w:r>
    </w:p>
    <w:p w14:paraId="42000000">
      <w:pPr>
        <w:widowControl w:val="0"/>
        <w:ind w:left="5954"/>
        <w:jc w:val="center"/>
        <w:rPr>
          <w:sz w:val="24"/>
        </w:rPr>
      </w:pPr>
      <w:r>
        <w:rPr>
          <w:sz w:val="24"/>
        </w:rPr>
        <w:t xml:space="preserve">постановлением </w:t>
      </w:r>
      <w:r>
        <w:rPr>
          <w:sz w:val="24"/>
        </w:rPr>
        <w:t>Территориальной и</w:t>
      </w:r>
      <w:r>
        <w:rPr>
          <w:sz w:val="24"/>
        </w:rPr>
        <w:t xml:space="preserve">збирательной комиссии </w:t>
      </w:r>
      <w:r>
        <w:rPr>
          <w:sz w:val="24"/>
        </w:rPr>
        <w:t>города Таганрога (восточная) ростовской области</w:t>
      </w:r>
      <w:r>
        <w:rPr>
          <w:sz w:val="24"/>
        </w:rPr>
        <w:br/>
      </w:r>
      <w:r>
        <w:rPr>
          <w:sz w:val="24"/>
        </w:rPr>
        <w:t xml:space="preserve">от </w:t>
      </w:r>
      <w:r>
        <w:rPr>
          <w:sz w:val="24"/>
        </w:rPr>
        <w:t>01</w:t>
      </w:r>
      <w:r>
        <w:rPr>
          <w:sz w:val="24"/>
        </w:rPr>
        <w:t>.0</w:t>
      </w:r>
      <w:r>
        <w:rPr>
          <w:sz w:val="24"/>
        </w:rPr>
        <w:t>7</w:t>
      </w:r>
      <w:r>
        <w:rPr>
          <w:sz w:val="24"/>
        </w:rPr>
        <w:t>.202</w:t>
      </w:r>
      <w:r>
        <w:rPr>
          <w:sz w:val="24"/>
        </w:rPr>
        <w:t>6</w:t>
      </w:r>
      <w:r>
        <w:rPr>
          <w:sz w:val="24"/>
        </w:rPr>
        <w:t xml:space="preserve"> № 4-9</w:t>
      </w:r>
    </w:p>
    <w:p w14:paraId="43000000">
      <w:pPr>
        <w:widowControl w:val="1"/>
        <w:ind w:left="5670"/>
      </w:pPr>
    </w:p>
    <w:p w14:paraId="44000000">
      <w:pPr>
        <w:pStyle w:val="Style_4"/>
        <w:widowControl w:val="1"/>
        <w:spacing w:line="276" w:lineRule="auto"/>
        <w:ind/>
      </w:pPr>
      <w:r>
        <w:t>ПОЛОЖЕНИЕ</w:t>
      </w:r>
    </w:p>
    <w:tbl>
      <w:tblPr>
        <w:tblStyle w:val="Style_1"/>
        <w:tblW w:type="auto" w:w="0"/>
        <w:tblInd w:type="dxa" w:w="534"/>
        <w:tblLayout w:type="fixed"/>
      </w:tblPr>
      <w:tblGrid>
        <w:gridCol w:w="8646"/>
      </w:tblGrid>
      <w:tr>
        <w:tc>
          <w:tcPr>
            <w:tcW w:type="dxa" w:w="8646"/>
            <w:shd w:fill="auto" w:val="clear"/>
          </w:tcPr>
          <w:p w14:paraId="45000000">
            <w:pPr>
              <w:pStyle w:val="Style_3"/>
              <w:widowControl w:val="1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о</w:t>
            </w:r>
            <w:r>
              <w:rPr>
                <w:rFonts w:ascii="Times New Roman" w:hAnsi="Times New Roman"/>
                <w:b w:val="1"/>
                <w:sz w:val="28"/>
              </w:rPr>
              <w:t xml:space="preserve"> Рабочей группе Территориальной избирательной комиссии </w:t>
            </w:r>
            <w:r>
              <w:rPr>
                <w:rFonts w:ascii="Times New Roman" w:hAnsi="Times New Roman"/>
                <w:b w:val="1"/>
                <w:sz w:val="28"/>
              </w:rPr>
              <w:t>города Таганрога (восточная) Ростовской области</w:t>
            </w:r>
            <w:r>
              <w:rPr>
                <w:rFonts w:ascii="Times New Roman" w:hAnsi="Times New Roman"/>
                <w:b w:val="1"/>
                <w:sz w:val="28"/>
              </w:rPr>
              <w:t xml:space="preserve"> по рассмотрению</w:t>
            </w:r>
            <w:r>
              <w:rPr>
                <w:rFonts w:ascii="Times New Roman" w:hAnsi="Times New Roman"/>
                <w:b w:val="1"/>
                <w:sz w:val="28"/>
              </w:rPr>
              <w:t xml:space="preserve"> жалоб (заявлений) на решения и действия </w:t>
            </w:r>
            <w:r>
              <w:rPr>
                <w:rFonts w:ascii="Times New Roman" w:hAnsi="Times New Roman"/>
                <w:b w:val="1"/>
                <w:sz w:val="28"/>
              </w:rPr>
              <w:t>(бездействие) нижестоящих избирательных комиссий и их должностных лиц, нарушающие избирательные права граждан</w:t>
            </w:r>
            <w:r>
              <w:rPr>
                <w:rFonts w:ascii="Times New Roman" w:hAnsi="Times New Roman"/>
                <w:b w:val="1"/>
                <w:sz w:val="28"/>
              </w:rPr>
              <w:t xml:space="preserve"> в ходе избирательной кампании </w:t>
            </w:r>
            <w:r>
              <w:rPr>
                <w:rFonts w:ascii="Times New Roman" w:hAnsi="Times New Roman"/>
                <w:b w:val="1"/>
                <w:sz w:val="28"/>
              </w:rPr>
              <w:t>по выборам  депутатов Государственной Думы Федерального Собрания Российской Федерации девятого созыва</w:t>
            </w:r>
          </w:p>
        </w:tc>
      </w:tr>
    </w:tbl>
    <w:p w14:paraId="46000000">
      <w:pPr>
        <w:pStyle w:val="Style_4"/>
        <w:widowControl w:val="1"/>
        <w:spacing w:after="0" w:line="276" w:lineRule="auto"/>
        <w:ind/>
      </w:pPr>
    </w:p>
    <w:p w14:paraId="47000000">
      <w:pPr>
        <w:pStyle w:val="Style_5"/>
        <w:widowControl w:val="1"/>
        <w:spacing w:line="276" w:lineRule="auto"/>
        <w:ind w:firstLine="708"/>
      </w:pPr>
      <w:r>
        <w:t>1. </w:t>
      </w:r>
      <w:r>
        <w:t xml:space="preserve">Настоящее </w:t>
      </w:r>
      <w:r>
        <w:t xml:space="preserve">Положение </w:t>
      </w:r>
      <w:r>
        <w:t>о</w:t>
      </w:r>
      <w:r>
        <w:t xml:space="preserve"> Рабочей группе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  <w:r>
        <w:t xml:space="preserve"> </w:t>
      </w:r>
      <w:r>
        <w:br/>
      </w:r>
      <w:r>
        <w:t>по рассмотрению жалоб (заявлений) на</w:t>
      </w:r>
      <w:r>
        <w:t xml:space="preserve"> решения </w:t>
      </w:r>
      <w:r>
        <w:t>и действия (бездействие) нижестоящих избирательных комиссий и их должностных лиц, нарушающие избирательные права граждан в ходе</w:t>
      </w:r>
      <w:r>
        <w:t xml:space="preserve"> избирательной кампании </w:t>
      </w:r>
      <w:r>
        <w:t>по выборам  депутатов Государственной Думы Федерального Собрания Российской Федерации девятого созыва</w:t>
      </w:r>
      <w:r>
        <w:t xml:space="preserve"> </w:t>
      </w:r>
      <w:r>
        <w:t xml:space="preserve">(далее </w:t>
      </w:r>
      <w:r>
        <w:t>-</w:t>
      </w:r>
      <w:r>
        <w:t xml:space="preserve"> Положение) о</w:t>
      </w:r>
      <w:r>
        <w:t xml:space="preserve">пределяет порядок </w:t>
      </w:r>
      <w:r>
        <w:br/>
      </w:r>
      <w:r>
        <w:t xml:space="preserve">и формы деятельности  Рабочей группы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  <w:r>
        <w:t xml:space="preserve"> </w:t>
      </w:r>
      <w:r>
        <w:t xml:space="preserve">(далее </w:t>
      </w:r>
      <w:r>
        <w:t>-</w:t>
      </w:r>
      <w:r>
        <w:t xml:space="preserve"> Комиссия) </w:t>
      </w:r>
      <w:r>
        <w:t xml:space="preserve">по рассмотрению жалоб (заявлений) на решения и действия (бездействие) нижестоящих избирательных </w:t>
      </w:r>
      <w:r>
        <w:t xml:space="preserve">комиссий и их должностных лиц, </w:t>
      </w:r>
      <w:r>
        <w:t>нарушающие избирательные права граждан</w:t>
      </w:r>
      <w:r>
        <w:t xml:space="preserve"> в ходе избирательной кампании </w:t>
      </w:r>
      <w:r>
        <w:t>по выборам  депутатов Государственной Думы Федерального Собрания Российской Федерации девятого созыва</w:t>
      </w:r>
      <w:r>
        <w:t xml:space="preserve"> </w:t>
      </w:r>
      <w:r>
        <w:t xml:space="preserve">(далее </w:t>
      </w:r>
      <w:r>
        <w:t>-</w:t>
      </w:r>
      <w:r>
        <w:t xml:space="preserve"> Рабочая группа).</w:t>
      </w:r>
    </w:p>
    <w:p w14:paraId="48000000">
      <w:pPr>
        <w:pStyle w:val="Style_6"/>
        <w:widowControl w:val="1"/>
        <w:spacing w:line="276" w:lineRule="auto"/>
        <w:ind/>
        <w:rPr>
          <w:sz w:val="28"/>
        </w:rPr>
      </w:pPr>
      <w:r>
        <w:rPr>
          <w:sz w:val="28"/>
        </w:rPr>
        <w:t>2. Рабочая группа в своей деятельности руководствуется Конституцией Российской Федерации, Федеральным</w:t>
      </w:r>
      <w:r>
        <w:rPr>
          <w:sz w:val="28"/>
        </w:rPr>
        <w:t>и законами</w:t>
      </w:r>
      <w:r>
        <w:rPr>
          <w:sz w:val="28"/>
        </w:rPr>
        <w:t xml:space="preserve"> от 12.06.2002 № 67-ФЗ</w:t>
      </w:r>
      <w:r>
        <w:rPr>
          <w:sz w:val="28"/>
        </w:rPr>
        <w:t xml:space="preserve">                </w:t>
      </w:r>
      <w:r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t xml:space="preserve">                               </w:t>
      </w:r>
      <w:r>
        <w:rPr>
          <w:sz w:val="28"/>
        </w:rPr>
        <w:t xml:space="preserve">в референдуме граждан Российской Федерации», </w:t>
      </w:r>
      <w:r>
        <w:rPr>
          <w:sz w:val="28"/>
        </w:rPr>
        <w:t xml:space="preserve">от 22.02.2014 № 20-ФЗ </w:t>
      </w:r>
      <w:r>
        <w:rPr>
          <w:sz w:val="28"/>
        </w:rPr>
        <w:br/>
      </w:r>
      <w:r>
        <w:rPr>
          <w:sz w:val="28"/>
        </w:rPr>
        <w:t>«О выборах депутатов Государственной Думы Федерального Собрания Российской Федерации»</w:t>
      </w:r>
      <w:r>
        <w:rPr>
          <w:sz w:val="28"/>
        </w:rPr>
        <w:t xml:space="preserve">, </w:t>
      </w:r>
      <w:r>
        <w:rPr>
          <w:sz w:val="28"/>
        </w:rPr>
        <w:t xml:space="preserve">иными законами, </w:t>
      </w:r>
      <w:r>
        <w:rPr>
          <w:sz w:val="28"/>
        </w:rPr>
        <w:t xml:space="preserve">нормативными </w:t>
      </w:r>
      <w:r>
        <w:rPr>
          <w:sz w:val="28"/>
        </w:rPr>
        <w:t>правовыми</w:t>
      </w:r>
      <w:r>
        <w:rPr>
          <w:sz w:val="28"/>
        </w:rPr>
        <w:t xml:space="preserve"> актами Центральной избирательной комиссии Российской Федерации, Избирательной комиссии Рост</w:t>
      </w:r>
      <w:r>
        <w:rPr>
          <w:sz w:val="28"/>
        </w:rPr>
        <w:t xml:space="preserve">овской области, постановлениями Комиссии, </w:t>
      </w:r>
      <w:r>
        <w:rPr>
          <w:sz w:val="28"/>
        </w:rPr>
        <w:br/>
      </w:r>
      <w:r>
        <w:rPr>
          <w:sz w:val="28"/>
        </w:rPr>
        <w:t>а также настоящим Положением.</w:t>
      </w:r>
    </w:p>
    <w:p w14:paraId="49000000">
      <w:pPr>
        <w:pStyle w:val="Style_6"/>
        <w:widowControl w:val="1"/>
        <w:spacing w:line="276" w:lineRule="auto"/>
        <w:ind/>
      </w:pPr>
      <w:r>
        <w:rPr>
          <w:sz w:val="28"/>
        </w:rPr>
        <w:t>3. В компетенцию Рабочей группы входит рассмотрение и подготовка проектов решений по жалобам (заявлениям), поступающи</w:t>
      </w:r>
      <w:r>
        <w:rPr>
          <w:sz w:val="28"/>
        </w:rPr>
        <w:t>м</w:t>
      </w:r>
      <w:r>
        <w:rPr>
          <w:sz w:val="28"/>
        </w:rPr>
        <w:t xml:space="preserve"> в Комиссию </w:t>
      </w:r>
      <w:r>
        <w:rPr>
          <w:sz w:val="28"/>
        </w:rPr>
        <w:br/>
      </w:r>
      <w:r>
        <w:rPr>
          <w:sz w:val="28"/>
        </w:rPr>
        <w:t xml:space="preserve">на решения и действия (бездействие) нижестоящих избирательных комиссий и их должностных лиц, нарушающие избирательные права граждан </w:t>
      </w:r>
      <w:r>
        <w:rPr>
          <w:sz w:val="28"/>
        </w:rPr>
        <w:t>в ходе избирательной кампании по выборам депутатов Государственной Думы Федерального Собрания Российской Федерации девятого созыва.</w:t>
      </w:r>
    </w:p>
    <w:p w14:paraId="4A000000">
      <w:pPr>
        <w:pStyle w:val="Style_5"/>
        <w:widowControl w:val="1"/>
        <w:spacing w:after="0" w:line="276" w:lineRule="auto"/>
        <w:ind/>
      </w:pPr>
      <w:r>
        <w:t xml:space="preserve">4. Рабочая группа </w:t>
      </w:r>
      <w:r>
        <w:t>образуется</w:t>
      </w:r>
      <w:r>
        <w:t xml:space="preserve"> из числа членов Комиссии с правом решающего голоса. </w:t>
      </w:r>
    </w:p>
    <w:p w14:paraId="4B000000">
      <w:pPr>
        <w:pStyle w:val="Style_5"/>
        <w:widowControl w:val="1"/>
        <w:spacing w:after="0" w:line="276" w:lineRule="auto"/>
        <w:ind/>
      </w:pPr>
      <w:r>
        <w:t>Персональный состав Рабочей группы утверждается постановлением Комиссии.</w:t>
      </w:r>
      <w:r>
        <w:t xml:space="preserve"> Данным постановлением назначается</w:t>
      </w:r>
      <w:r>
        <w:t xml:space="preserve"> </w:t>
      </w:r>
      <w:r>
        <w:t>руководитель Рабочей группы и секретарь Рабочей группы.</w:t>
      </w:r>
    </w:p>
    <w:p w14:paraId="4C000000">
      <w:pPr>
        <w:pStyle w:val="Style_5"/>
        <w:widowControl w:val="1"/>
        <w:spacing w:after="0" w:line="276" w:lineRule="auto"/>
        <w:ind/>
        <w:rPr>
          <w:color w:val="000000"/>
        </w:rPr>
      </w:pPr>
      <w:r>
        <w:t>5. </w:t>
      </w:r>
      <w:r>
        <w:t xml:space="preserve">По поручению председателя Комиссии, а в его отсутствие – по поручению заместителя председателя Комиссии, руководителя Рабочей группы поступившая в Комиссию жалоба (заявление) рассматривается </w:t>
      </w:r>
      <w:r>
        <w:br/>
      </w:r>
      <w:r>
        <w:t>на заседании Рабочей группы</w:t>
      </w:r>
      <w:r>
        <w:t xml:space="preserve">. </w:t>
      </w:r>
    </w:p>
    <w:p w14:paraId="4D000000">
      <w:pPr>
        <w:pStyle w:val="Style_5"/>
        <w:widowControl w:val="1"/>
        <w:spacing w:line="276" w:lineRule="auto"/>
        <w:ind/>
      </w:pPr>
      <w:r>
        <w:t>6. </w:t>
      </w:r>
      <w:r>
        <w:t xml:space="preserve">По результатам рассмотрения Рабочей группой жалоб (заявлений) </w:t>
      </w:r>
      <w:r>
        <w:br/>
      </w:r>
      <w:r>
        <w:t>за исключением жалоб (заявлений) на решение комиссии о признании кандидата утратившим статус кандидата, об отказе в регистрации кандидата ответ заявителю дается руководителем Рабочей группы, а в его отсутствие – заместителем руководителя Рабочей группы или уполномоченным членом Рабочей группы. Проект ответа го</w:t>
      </w:r>
      <w:r>
        <w:t xml:space="preserve">товится членами Рабочей группы </w:t>
      </w:r>
      <w:r>
        <w:br/>
      </w:r>
      <w:r>
        <w:t>по поручению руководителя Рабочей группы, а в его отсутствие – заместителя руководителя Рабочей группы</w:t>
      </w:r>
      <w:r>
        <w:t>.</w:t>
      </w:r>
    </w:p>
    <w:p w14:paraId="4E000000">
      <w:pPr>
        <w:pStyle w:val="Style_5"/>
        <w:widowControl w:val="1"/>
        <w:spacing w:after="0" w:line="276" w:lineRule="auto"/>
        <w:ind/>
      </w:pPr>
      <w:r>
        <w:t>7. </w:t>
      </w:r>
      <w:r>
        <w:t>При необходимости</w:t>
      </w:r>
      <w:r>
        <w:t xml:space="preserve"> решение Рабочей группы и соответствующий проект постановления Комиссии выносятся на рассмотрение Комиссии, </w:t>
      </w:r>
      <w:r>
        <w:br/>
      </w:r>
      <w:r>
        <w:t xml:space="preserve">при этом с докладом по этому вопросу выступает руководитель Рабочей группы или по его поручению </w:t>
      </w:r>
      <w:r>
        <w:t>-</w:t>
      </w:r>
      <w:r>
        <w:t xml:space="preserve"> заместитель руководителя Рабочей группы либо иной </w:t>
      </w:r>
      <w:r>
        <w:t>член Рабочей группы.</w:t>
      </w:r>
    </w:p>
    <w:p w14:paraId="4F000000">
      <w:pPr>
        <w:pStyle w:val="Style_5"/>
        <w:widowControl w:val="1"/>
        <w:spacing w:after="0" w:line="276" w:lineRule="auto"/>
        <w:ind/>
        <w:rPr>
          <w:color w:val="000000"/>
        </w:rPr>
      </w:pPr>
      <w:r>
        <w:rPr>
          <w:color w:val="000000"/>
        </w:rPr>
        <w:t>8.</w:t>
      </w:r>
      <w:r>
        <w:t> Заседания Рабочей группы проводятся по мере необходимости.</w:t>
      </w:r>
    </w:p>
    <w:p w14:paraId="50000000">
      <w:pPr>
        <w:pStyle w:val="Style_5"/>
        <w:widowControl w:val="1"/>
        <w:spacing w:line="276" w:lineRule="auto"/>
        <w:ind/>
      </w:pPr>
      <w:r>
        <w:t xml:space="preserve">9. На заседаниях Рабочей группы вправе присутствовать, выступать </w:t>
      </w:r>
      <w:r>
        <w:br/>
      </w:r>
      <w:r>
        <w:t>и высказывать свое мнение члены Комиссии, участвующие в подготовке материалов к заседанию Рабочей группы.</w:t>
      </w:r>
    </w:p>
    <w:p w14:paraId="51000000">
      <w:pPr>
        <w:pStyle w:val="Style_5"/>
        <w:widowControl w:val="1"/>
        <w:spacing w:line="276" w:lineRule="auto"/>
        <w:ind/>
      </w:pPr>
      <w:r>
        <w:t>При рассмотрении жалобы (заявления) на заседание Рабочей группы</w:t>
      </w:r>
      <w:r>
        <w:t xml:space="preserve"> </w:t>
      </w:r>
      <w:r>
        <w:t xml:space="preserve">приглашаются заинтересованные стороны – автор жалобы (заявления), лица, чьи действия обжалуются, а также лица, уполномоченные представлять </w:t>
      </w:r>
      <w:r>
        <w:br/>
      </w:r>
      <w:r>
        <w:t>их интересы</w:t>
      </w:r>
      <w:r>
        <w:t>.</w:t>
      </w:r>
    </w:p>
    <w:p w14:paraId="52000000">
      <w:pPr>
        <w:pStyle w:val="Style_5"/>
        <w:widowControl w:val="1"/>
        <w:spacing w:line="276" w:lineRule="auto"/>
        <w:ind/>
      </w:pPr>
      <w:r>
        <w:t>10. </w:t>
      </w:r>
      <w:r>
        <w:t>Руководитель Рабочей группы осуществляет руководство деятельностью Рабочей группы и принимает решения:</w:t>
      </w:r>
    </w:p>
    <w:p w14:paraId="53000000">
      <w:pPr>
        <w:pStyle w:val="Style_5"/>
        <w:widowControl w:val="1"/>
        <w:spacing w:line="276" w:lineRule="auto"/>
        <w:ind/>
      </w:pPr>
      <w:r>
        <w:t>о дате, времени и месте заседания Рабочей группы;</w:t>
      </w:r>
    </w:p>
    <w:p w14:paraId="54000000">
      <w:pPr>
        <w:pStyle w:val="Style_5"/>
        <w:widowControl w:val="1"/>
        <w:spacing w:line="276" w:lineRule="auto"/>
        <w:ind/>
      </w:pPr>
      <w:r>
        <w:t>о проведении заседания Рабочей группы в режиме видеоконференции;</w:t>
      </w:r>
    </w:p>
    <w:p w14:paraId="55000000">
      <w:pPr>
        <w:pStyle w:val="Style_5"/>
        <w:widowControl w:val="1"/>
        <w:spacing w:line="276" w:lineRule="auto"/>
        <w:ind/>
      </w:pPr>
      <w:r>
        <w:t>о приглашении представителей иных избирательных комиссий, специалистов, экспертов, которые по предложению Рабочей группы дают заключения и пояснения по существу рассматриваемого вопроса;</w:t>
      </w:r>
    </w:p>
    <w:p w14:paraId="56000000">
      <w:pPr>
        <w:pStyle w:val="Style_5"/>
        <w:widowControl w:val="1"/>
        <w:spacing w:line="276" w:lineRule="auto"/>
        <w:ind/>
      </w:pPr>
      <w:r>
        <w:t>о проведении дополнительной проверки фактов, содержащихся в жалобе, в том числе с выездом членов Рабочей группы и (или) государственных гражданских служащих аппарата Комиссии в нижестоящие избирательные комиссии</w:t>
      </w:r>
      <w:r>
        <w:t>.</w:t>
      </w:r>
    </w:p>
    <w:p w14:paraId="57000000">
      <w:pPr>
        <w:pStyle w:val="Style_2"/>
        <w:widowControl w:val="1"/>
        <w:spacing w:line="276" w:lineRule="auto"/>
        <w:ind/>
        <w:rPr>
          <w:sz w:val="28"/>
        </w:rPr>
      </w:pPr>
      <w:r>
        <w:rPr>
          <w:sz w:val="28"/>
        </w:rPr>
        <w:t xml:space="preserve">11. </w:t>
      </w:r>
      <w:r>
        <w:rPr>
          <w:sz w:val="28"/>
        </w:rPr>
        <w:t>Секретарь Рабочей группы в соответствии с поручениями руководителя Рабочей группы:</w:t>
      </w:r>
    </w:p>
    <w:p w14:paraId="58000000">
      <w:pPr>
        <w:pStyle w:val="Style_2"/>
        <w:widowControl w:val="1"/>
        <w:spacing w:line="276" w:lineRule="auto"/>
        <w:ind/>
        <w:rPr>
          <w:sz w:val="28"/>
        </w:rPr>
      </w:pPr>
      <w:r>
        <w:rPr>
          <w:sz w:val="28"/>
        </w:rPr>
        <w:t>осуществляет подготовку материалов к заседанию Рабочей группы, формирует проект повестки дня заседания Рабочей группы;</w:t>
      </w:r>
    </w:p>
    <w:p w14:paraId="59000000">
      <w:pPr>
        <w:pStyle w:val="Style_2"/>
        <w:widowControl w:val="1"/>
        <w:spacing w:line="276" w:lineRule="auto"/>
        <w:ind/>
        <w:rPr>
          <w:sz w:val="28"/>
        </w:rPr>
      </w:pPr>
      <w:r>
        <w:rPr>
          <w:sz w:val="28"/>
        </w:rPr>
        <w:t>формирует список приглашенных на заседание Рабочей группы, включая заинтересованные стороны;</w:t>
      </w:r>
    </w:p>
    <w:p w14:paraId="5A000000">
      <w:pPr>
        <w:pStyle w:val="Style_2"/>
        <w:widowControl w:val="1"/>
        <w:spacing w:line="276" w:lineRule="auto"/>
        <w:ind/>
        <w:rPr>
          <w:sz w:val="28"/>
        </w:rPr>
      </w:pPr>
      <w:r>
        <w:rPr>
          <w:sz w:val="28"/>
        </w:rPr>
        <w:t>ведет протокол заседания Рабочей группы</w:t>
      </w:r>
      <w:r>
        <w:rPr>
          <w:sz w:val="28"/>
        </w:rPr>
        <w:t>.</w:t>
      </w:r>
    </w:p>
    <w:p w14:paraId="5B000000">
      <w:pPr>
        <w:pStyle w:val="Style_5"/>
        <w:widowControl w:val="1"/>
        <w:spacing w:line="276" w:lineRule="auto"/>
        <w:ind/>
      </w:pPr>
      <w:r>
        <w:t xml:space="preserve">11. Подготовка к заседаниям Рабочей группы ведется в соответствии </w:t>
      </w:r>
      <w:r>
        <w:br/>
      </w:r>
      <w:r>
        <w:t>с</w:t>
      </w:r>
      <w:r>
        <w:t xml:space="preserve"> поручениями руководителя Рабочей группы членами Рабочей группы, </w:t>
      </w:r>
      <w:r>
        <w:br/>
      </w:r>
      <w:r>
        <w:t xml:space="preserve">а также привлекаемыми специалистами. </w:t>
      </w:r>
      <w:r>
        <w:t>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</w:t>
      </w:r>
      <w:r>
        <w:t>.</w:t>
      </w:r>
    </w:p>
    <w:p w14:paraId="5C000000">
      <w:pPr>
        <w:pStyle w:val="Style_5"/>
        <w:widowControl w:val="1"/>
        <w:spacing w:line="276" w:lineRule="auto"/>
        <w:ind/>
      </w:pPr>
      <w:r>
        <w:t>12. 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14:paraId="5D000000">
      <w:pPr>
        <w:pStyle w:val="Style_5"/>
        <w:widowControl w:val="1"/>
        <w:spacing w:line="276" w:lineRule="auto"/>
        <w:ind/>
      </w:pPr>
      <w:r>
        <w:t xml:space="preserve">13. Подготовка к заседаниям Рабочей группы ведется в соответствии </w:t>
      </w:r>
      <w:r>
        <w:br/>
      </w:r>
      <w:r>
        <w:t>с поручениями руководителя Рабочей группы членами Рабочей группы, 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14:paraId="5E000000">
      <w:pPr>
        <w:pStyle w:val="Style_5"/>
        <w:widowControl w:val="1"/>
        <w:spacing w:line="276" w:lineRule="auto"/>
        <w:ind/>
      </w:pPr>
      <w:r>
        <w:t>1</w:t>
      </w:r>
      <w:r>
        <w:t>4</w:t>
      </w:r>
      <w:r>
        <w:t>. 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 соответствующее решение принимается председателем Комиссии по предложению Рабочей группы, вносимому ее руководителем.</w:t>
      </w:r>
    </w:p>
    <w:p w14:paraId="5F000000">
      <w:pPr>
        <w:pStyle w:val="Style_5"/>
        <w:widowControl w:val="1"/>
        <w:spacing w:line="276" w:lineRule="auto"/>
        <w:ind/>
      </w:pPr>
      <w:r>
        <w:t>1</w:t>
      </w:r>
      <w:r>
        <w:t>5</w:t>
      </w:r>
      <w:r>
        <w:t>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14:paraId="60000000">
      <w:pPr>
        <w:pStyle w:val="Style_5"/>
        <w:widowControl w:val="1"/>
        <w:spacing w:line="276" w:lineRule="auto"/>
        <w:ind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14:paraId="61000000">
      <w:pPr>
        <w:pStyle w:val="Style_5"/>
        <w:widowControl w:val="1"/>
        <w:spacing w:line="276" w:lineRule="auto"/>
        <w:ind/>
      </w:pPr>
      <w: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>
        <w:br/>
      </w:r>
      <w:r>
        <w:t xml:space="preserve">на заседании) по согласованию с докладчиком и не должна превышать: </w:t>
      </w:r>
      <w:r>
        <w:br/>
      </w:r>
      <w:r>
        <w:t xml:space="preserve">для доклада и выступлений заинтересованных лиц и их представителей </w:t>
      </w:r>
      <w:r>
        <w:br/>
      </w:r>
      <w:r>
        <w:t>в случае их участия в заседании - 10 минут; для докладов и иных</w:t>
      </w:r>
      <w:r>
        <w:t xml:space="preserve"> </w:t>
      </w:r>
      <w:r>
        <w:t xml:space="preserve">выступлений членов Рабочей группы - 5 минут; для оглашения информации, </w:t>
      </w:r>
      <w:r>
        <w:br/>
      </w:r>
      <w:r>
        <w:t xml:space="preserve">обращений - 3 минуты. Рабочая группа вправе принять решение </w:t>
      </w:r>
      <w:r>
        <w:br/>
      </w:r>
      <w:r>
        <w:t xml:space="preserve">о предоставлении дополнительного времени докладчику </w:t>
      </w:r>
      <w:r>
        <w:br/>
      </w:r>
      <w:r>
        <w:t>и заинтересованным сторонам.</w:t>
      </w:r>
    </w:p>
    <w:p w14:paraId="62000000">
      <w:pPr>
        <w:pStyle w:val="Style_5"/>
        <w:widowControl w:val="1"/>
        <w:spacing w:line="276" w:lineRule="auto"/>
        <w:ind/>
      </w:pPr>
      <w:r>
        <w:t>1</w:t>
      </w:r>
      <w:r>
        <w:t>6</w:t>
      </w:r>
      <w:r>
        <w:t>. </w:t>
      </w:r>
      <w:r>
        <w:t xml:space="preserve">На заседании Рабочей группы ведется протокол. Протокол подписывается председательствующим на заседании Рабочей группы </w:t>
      </w:r>
      <w:r>
        <w:br/>
      </w:r>
      <w:r>
        <w:t>и секретарем</w:t>
      </w:r>
      <w:r>
        <w:t>.</w:t>
      </w:r>
    </w:p>
    <w:p w14:paraId="63000000">
      <w:pPr>
        <w:pStyle w:val="Style_5"/>
        <w:widowControl w:val="1"/>
        <w:spacing w:line="276" w:lineRule="auto"/>
        <w:ind/>
      </w:pPr>
      <w:r>
        <w:t>1</w:t>
      </w:r>
      <w:r>
        <w:t>7</w:t>
      </w:r>
      <w:r>
        <w:t>. </w:t>
      </w:r>
      <w:r>
        <w:t>Решения по жалобам принимаются в сроки, установленные федеральным законодательством Российской Федерации</w:t>
      </w:r>
      <w:r>
        <w:t>.</w:t>
      </w:r>
    </w:p>
    <w:p w14:paraId="64000000">
      <w:pPr>
        <w:pStyle w:val="Style_5"/>
        <w:widowControl w:val="1"/>
        <w:spacing w:line="276" w:lineRule="auto"/>
        <w:ind/>
      </w:pPr>
      <w:r>
        <w:t>1</w:t>
      </w:r>
      <w:r>
        <w:t>8</w:t>
      </w:r>
      <w:r>
        <w:t>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14:paraId="65000000">
      <w:pPr>
        <w:pStyle w:val="Style_5"/>
        <w:widowControl w:val="1"/>
        <w:spacing w:line="276" w:lineRule="auto"/>
        <w:ind/>
      </w:pPr>
      <w:r>
        <w:t>1</w:t>
      </w:r>
      <w:r>
        <w:t>9</w:t>
      </w:r>
      <w:r>
        <w:t xml:space="preserve">. 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14:paraId="66000000">
      <w:pPr>
        <w:pStyle w:val="Style_5"/>
        <w:widowControl w:val="1"/>
        <w:spacing w:line="276" w:lineRule="auto"/>
        <w:ind/>
      </w:pPr>
      <w:r>
        <w:t>20</w:t>
      </w:r>
      <w:r>
        <w:t xml:space="preserve">. </w:t>
      </w:r>
      <w:r>
        <w:t xml:space="preserve">По решению руководителя Рабочей группы заседание Рабочей группы может проводиться в режиме видеоконференции. При этом должна быть обеспечена возможность участия в заседании заинтересованных лиц </w:t>
      </w:r>
      <w:r>
        <w:br/>
      </w:r>
      <w:r>
        <w:t>и их представителей.</w:t>
      </w:r>
    </w:p>
    <w:p w14:paraId="67000000">
      <w:pPr>
        <w:pStyle w:val="Style_5"/>
        <w:widowControl w:val="1"/>
        <w:spacing w:line="276" w:lineRule="auto"/>
        <w:ind/>
      </w:pPr>
    </w:p>
    <w:p w14:paraId="68000000">
      <w:pPr>
        <w:pStyle w:val="Style_5"/>
        <w:widowControl w:val="1"/>
        <w:spacing w:line="276" w:lineRule="auto"/>
        <w:ind/>
      </w:pPr>
    </w:p>
    <w:p w14:paraId="69000000">
      <w:pPr>
        <w:pStyle w:val="Style_5"/>
        <w:widowControl w:val="1"/>
        <w:spacing w:line="276" w:lineRule="auto"/>
        <w:ind/>
      </w:pPr>
    </w:p>
    <w:p w14:paraId="6A000000">
      <w:pPr>
        <w:pStyle w:val="Style_5"/>
        <w:widowControl w:val="1"/>
        <w:spacing w:line="276" w:lineRule="auto"/>
        <w:ind/>
      </w:pPr>
    </w:p>
    <w:p w14:paraId="6B000000">
      <w:pPr>
        <w:pStyle w:val="Style_5"/>
        <w:widowControl w:val="1"/>
        <w:spacing w:line="276" w:lineRule="auto"/>
        <w:ind/>
      </w:pPr>
    </w:p>
    <w:p w14:paraId="6C000000">
      <w:pPr>
        <w:pStyle w:val="Style_5"/>
        <w:widowControl w:val="1"/>
        <w:spacing w:line="276" w:lineRule="auto"/>
        <w:ind/>
      </w:pPr>
    </w:p>
    <w:p w14:paraId="6D000000">
      <w:pPr>
        <w:pStyle w:val="Style_5"/>
        <w:widowControl w:val="1"/>
        <w:spacing w:line="276" w:lineRule="auto"/>
        <w:ind/>
      </w:pPr>
    </w:p>
    <w:p w14:paraId="6E000000">
      <w:pPr>
        <w:pStyle w:val="Style_5"/>
        <w:widowControl w:val="1"/>
        <w:spacing w:line="276" w:lineRule="auto"/>
        <w:ind/>
      </w:pPr>
    </w:p>
    <w:p w14:paraId="6F000000">
      <w:pPr>
        <w:widowControl w:val="0"/>
        <w:ind w:left="5954"/>
        <w:jc w:val="center"/>
        <w:rPr>
          <w:sz w:val="24"/>
        </w:rPr>
      </w:pPr>
      <w:r>
        <w:rPr>
          <w:sz w:val="24"/>
        </w:rPr>
        <w:t xml:space="preserve">Приложение № </w:t>
      </w:r>
      <w:r>
        <w:rPr>
          <w:sz w:val="24"/>
        </w:rPr>
        <w:t>2</w:t>
      </w:r>
    </w:p>
    <w:p w14:paraId="70000000">
      <w:pPr>
        <w:widowControl w:val="0"/>
        <w:ind w:left="5954"/>
        <w:jc w:val="center"/>
        <w:rPr>
          <w:sz w:val="24"/>
        </w:rPr>
      </w:pPr>
    </w:p>
    <w:p w14:paraId="71000000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УТВЕРЖДЕН</w:t>
      </w:r>
    </w:p>
    <w:p w14:paraId="72000000">
      <w:pPr>
        <w:widowControl w:val="0"/>
        <w:ind w:left="5954"/>
        <w:jc w:val="center"/>
        <w:rPr>
          <w:sz w:val="24"/>
        </w:rPr>
      </w:pPr>
      <w:r>
        <w:rPr>
          <w:sz w:val="24"/>
        </w:rPr>
        <w:t xml:space="preserve">постановлением </w:t>
      </w:r>
      <w:r>
        <w:rPr>
          <w:sz w:val="24"/>
        </w:rPr>
        <w:t>Территориальной и</w:t>
      </w:r>
      <w:r>
        <w:rPr>
          <w:sz w:val="24"/>
        </w:rPr>
        <w:t xml:space="preserve">збирательной комиссии 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  <w:r>
        <w:rPr>
          <w:sz w:val="24"/>
        </w:rPr>
        <w:t xml:space="preserve"> </w:t>
      </w:r>
      <w:r>
        <w:rPr>
          <w:sz w:val="24"/>
        </w:rPr>
        <w:br/>
      </w:r>
      <w:r>
        <w:rPr>
          <w:sz w:val="24"/>
        </w:rPr>
        <w:t xml:space="preserve">от </w:t>
      </w:r>
      <w:r>
        <w:rPr>
          <w:sz w:val="24"/>
        </w:rPr>
        <w:t>01</w:t>
      </w:r>
      <w:r>
        <w:rPr>
          <w:sz w:val="24"/>
        </w:rPr>
        <w:t>.07.202</w:t>
      </w:r>
      <w:r>
        <w:rPr>
          <w:sz w:val="24"/>
        </w:rPr>
        <w:t>6</w:t>
      </w:r>
      <w:r>
        <w:rPr>
          <w:sz w:val="24"/>
        </w:rPr>
        <w:t xml:space="preserve"> № 4-9</w:t>
      </w:r>
    </w:p>
    <w:p w14:paraId="73000000">
      <w:pPr>
        <w:widowControl w:val="0"/>
        <w:ind w:left="5954"/>
        <w:jc w:val="center"/>
      </w:pPr>
    </w:p>
    <w:p w14:paraId="74000000">
      <w:pPr>
        <w:widowControl w:val="1"/>
        <w:ind/>
        <w:jc w:val="center"/>
        <w:rPr>
          <w:b w:val="1"/>
        </w:rPr>
      </w:pPr>
      <w:r>
        <w:rPr>
          <w:b w:val="1"/>
        </w:rPr>
        <w:t>СОСТАВ</w:t>
      </w:r>
    </w:p>
    <w:p w14:paraId="75000000">
      <w:pPr>
        <w:widowControl w:val="1"/>
        <w:ind/>
        <w:jc w:val="center"/>
        <w:rPr>
          <w:b w:val="1"/>
        </w:rPr>
      </w:pPr>
    </w:p>
    <w:tbl>
      <w:tblPr>
        <w:tblStyle w:val="Style_1"/>
        <w:tblW w:type="auto" w:w="0"/>
        <w:tblInd w:type="dxa" w:w="534"/>
        <w:tblLayout w:type="fixed"/>
      </w:tblPr>
      <w:tblGrid>
        <w:gridCol w:w="8505"/>
      </w:tblGrid>
      <w:tr>
        <w:tc>
          <w:tcPr>
            <w:tcW w:type="dxa" w:w="8505"/>
            <w:shd w:fill="auto" w:val="clear"/>
          </w:tcPr>
          <w:p w14:paraId="76000000">
            <w:pPr>
              <w:pStyle w:val="Style_3"/>
              <w:widowControl w:val="1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Рабочей группы </w:t>
            </w:r>
            <w:r>
              <w:rPr>
                <w:rFonts w:ascii="Times New Roman" w:hAnsi="Times New Roman"/>
                <w:b w:val="1"/>
                <w:sz w:val="28"/>
              </w:rPr>
              <w:t xml:space="preserve">Территориальной избирательной комиссии </w:t>
            </w:r>
            <w:r>
              <w:rPr>
                <w:rFonts w:ascii="Times New Roman" w:hAnsi="Times New Roman"/>
                <w:b w:val="1"/>
                <w:sz w:val="28"/>
              </w:rPr>
              <w:t>города Таганрога (восточная) Ростовской области</w:t>
            </w:r>
            <w:r>
              <w:rPr>
                <w:rFonts w:ascii="Times New Roman" w:hAnsi="Times New Roman"/>
                <w:b w:val="1"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</w:t>
            </w:r>
            <w:r>
              <w:rPr>
                <w:rFonts w:ascii="Times New Roman" w:hAnsi="Times New Roman"/>
                <w:b w:val="1"/>
                <w:sz w:val="28"/>
              </w:rPr>
              <w:t xml:space="preserve"> в ходе избирательной кампании </w:t>
            </w:r>
            <w:r>
              <w:rPr>
                <w:rFonts w:ascii="Times New Roman" w:hAnsi="Times New Roman"/>
                <w:b w:val="1"/>
                <w:sz w:val="28"/>
              </w:rPr>
              <w:t>по выборам  депутатов Государственной Думы Федерального Собрания Российской Федерации девятого созыва</w:t>
            </w:r>
          </w:p>
        </w:tc>
      </w:tr>
    </w:tbl>
    <w:p w14:paraId="77000000">
      <w:pPr>
        <w:widowControl w:val="1"/>
        <w:ind/>
        <w:jc w:val="center"/>
        <w:rPr>
          <w:b w:val="1"/>
        </w:rPr>
      </w:pPr>
    </w:p>
    <w:p w14:paraId="78000000">
      <w:pPr>
        <w:widowControl w:val="1"/>
        <w:ind/>
        <w:jc w:val="center"/>
        <w:rPr>
          <w:b w:val="1"/>
        </w:rPr>
      </w:pPr>
      <w:r>
        <w:rPr>
          <w:b w:val="1"/>
        </w:rPr>
        <w:br/>
      </w:r>
      <w:r>
        <w:rPr>
          <w:b w:val="1"/>
        </w:rPr>
        <w:t>Руководитель Рабочей группы:</w:t>
      </w:r>
    </w:p>
    <w:tbl>
      <w:tblPr>
        <w:tblStyle w:val="Style_1"/>
        <w:tblW w:type="auto" w:w="0"/>
        <w:tblLayout w:type="fixed"/>
      </w:tblPr>
      <w:tblGrid>
        <w:gridCol w:w="3510"/>
        <w:gridCol w:w="6060"/>
      </w:tblGrid>
      <w:tr>
        <w:tc>
          <w:tcPr>
            <w:tcW w:type="dxa" w:w="3510"/>
            <w:shd w:fill="auto" w:val="clear"/>
          </w:tcPr>
          <w:p w14:paraId="79000000">
            <w:pPr>
              <w:widowControl w:val="1"/>
              <w:ind/>
              <w:jc w:val="both"/>
              <w:rPr>
                <w:b w:val="1"/>
              </w:rPr>
            </w:pPr>
          </w:p>
        </w:tc>
        <w:tc>
          <w:tcPr>
            <w:tcW w:type="dxa" w:w="6060"/>
            <w:shd w:fill="auto" w:val="clear"/>
          </w:tcPr>
          <w:p w14:paraId="7A000000">
            <w:pPr>
              <w:widowControl w:val="1"/>
              <w:ind/>
              <w:jc w:val="both"/>
            </w:pPr>
            <w:r>
              <w:t xml:space="preserve">– член </w:t>
            </w:r>
            <w:r>
              <w:t>Территориаль</w:t>
            </w:r>
            <w:r>
              <w:t xml:space="preserve">ной </w:t>
            </w:r>
            <w:r>
              <w:t xml:space="preserve">избирательной </w:t>
            </w:r>
            <w:r>
              <w:t xml:space="preserve">комиссии </w:t>
            </w:r>
            <w:r>
              <w:rPr>
                <w:rFonts w:ascii="Times New Roman" w:hAnsi="Times New Roman"/>
                <w:sz w:val="28"/>
              </w:rPr>
              <w:t>города Таганрога (восточная) Ростовской области</w:t>
            </w:r>
            <w:r>
              <w:t xml:space="preserve"> с правом решающего голоса</w:t>
            </w:r>
          </w:p>
        </w:tc>
      </w:tr>
    </w:tbl>
    <w:p w14:paraId="7B000000">
      <w:pPr>
        <w:widowControl w:val="1"/>
        <w:ind/>
        <w:jc w:val="center"/>
        <w:rPr>
          <w:b w:val="1"/>
        </w:rPr>
      </w:pPr>
    </w:p>
    <w:p w14:paraId="7C000000">
      <w:pPr>
        <w:widowControl w:val="1"/>
        <w:ind/>
        <w:jc w:val="center"/>
        <w:rPr>
          <w:b w:val="1"/>
        </w:rPr>
      </w:pPr>
      <w:r>
        <w:rPr>
          <w:b w:val="1"/>
        </w:rPr>
        <w:t>Заместитель руководителя Рабочей группы:</w:t>
      </w:r>
    </w:p>
    <w:tbl>
      <w:tblPr>
        <w:tblStyle w:val="Style_1"/>
        <w:tblW w:type="auto" w:w="0"/>
        <w:tblLayout w:type="fixed"/>
      </w:tblPr>
      <w:tblGrid>
        <w:gridCol w:w="3510"/>
        <w:gridCol w:w="6061"/>
      </w:tblGrid>
      <w:tr>
        <w:tc>
          <w:tcPr>
            <w:tcW w:type="dxa" w:w="3510"/>
            <w:shd w:fill="auto" w:val="clear"/>
          </w:tcPr>
          <w:p w14:paraId="7D000000">
            <w:pPr>
              <w:widowControl w:val="1"/>
              <w:ind/>
              <w:jc w:val="both"/>
            </w:pPr>
          </w:p>
        </w:tc>
        <w:tc>
          <w:tcPr>
            <w:tcW w:type="dxa" w:w="6061"/>
            <w:shd w:fill="auto" w:val="clear"/>
          </w:tcPr>
          <w:p w14:paraId="7E000000">
            <w:pPr>
              <w:widowControl w:val="1"/>
              <w:ind/>
              <w:jc w:val="both"/>
              <w:rPr>
                <w:b w:val="1"/>
              </w:rPr>
            </w:pPr>
            <w:r>
              <w:t xml:space="preserve">– член </w:t>
            </w:r>
            <w:r>
              <w:t>Территориаль</w:t>
            </w:r>
            <w:r>
              <w:t xml:space="preserve">ной </w:t>
            </w:r>
            <w:r>
              <w:t xml:space="preserve">избирательной </w:t>
            </w:r>
            <w:r>
              <w:t xml:space="preserve">комиссии </w:t>
            </w:r>
            <w:r>
              <w:rPr>
                <w:rFonts w:ascii="Times New Roman" w:hAnsi="Times New Roman"/>
                <w:sz w:val="28"/>
              </w:rPr>
              <w:t>города Таганрога (восточная) Ростовской области</w:t>
            </w:r>
            <w:r>
              <w:t xml:space="preserve"> с правом решающего голоса</w:t>
            </w:r>
          </w:p>
        </w:tc>
      </w:tr>
    </w:tbl>
    <w:p w14:paraId="7F000000">
      <w:pPr>
        <w:widowControl w:val="1"/>
        <w:ind/>
        <w:jc w:val="center"/>
        <w:rPr>
          <w:b w:val="1"/>
        </w:rPr>
      </w:pPr>
    </w:p>
    <w:p w14:paraId="80000000">
      <w:pPr>
        <w:widowControl w:val="1"/>
        <w:ind/>
        <w:jc w:val="center"/>
        <w:rPr>
          <w:b w:val="1"/>
        </w:rPr>
      </w:pPr>
      <w:r>
        <w:rPr>
          <w:b w:val="1"/>
        </w:rPr>
        <w:t>Секретарь Рабочей группы:</w:t>
      </w:r>
    </w:p>
    <w:tbl>
      <w:tblPr>
        <w:tblStyle w:val="Style_1"/>
        <w:tblW w:type="auto" w:w="0"/>
        <w:tblLayout w:type="fixed"/>
      </w:tblPr>
      <w:tblGrid>
        <w:gridCol w:w="3510"/>
        <w:gridCol w:w="6061"/>
      </w:tblGrid>
      <w:tr>
        <w:tc>
          <w:tcPr>
            <w:tcW w:type="dxa" w:w="3510"/>
            <w:shd w:fill="auto" w:val="clear"/>
          </w:tcPr>
          <w:p/>
        </w:tc>
        <w:tc>
          <w:tcPr>
            <w:tcW w:type="dxa" w:w="6061"/>
            <w:shd w:fill="auto" w:val="clear"/>
          </w:tcPr>
          <w:p w14:paraId="81000000">
            <w:pPr>
              <w:widowControl w:val="1"/>
              <w:ind/>
              <w:jc w:val="both"/>
              <w:rPr>
                <w:b w:val="1"/>
              </w:rPr>
            </w:pPr>
            <w:r>
              <w:t>– </w:t>
            </w:r>
            <w:r>
              <w:t>секретарь</w:t>
            </w:r>
            <w:r>
              <w:t xml:space="preserve"> </w:t>
            </w:r>
            <w:r>
              <w:t>Территориальной и</w:t>
            </w:r>
            <w:r>
              <w:t xml:space="preserve">збирательной комиссии </w:t>
            </w:r>
            <w:r>
              <w:rPr>
                <w:rFonts w:ascii="Times New Roman" w:hAnsi="Times New Roman"/>
                <w:sz w:val="28"/>
              </w:rPr>
              <w:t>города Таганрога (восточная) Ростовской области</w:t>
            </w:r>
          </w:p>
        </w:tc>
      </w:tr>
    </w:tbl>
    <w:p w14:paraId="82000000">
      <w:pPr>
        <w:widowControl w:val="1"/>
        <w:ind/>
        <w:jc w:val="center"/>
        <w:rPr>
          <w:b w:val="1"/>
        </w:rPr>
      </w:pPr>
    </w:p>
    <w:p w14:paraId="83000000">
      <w:pPr>
        <w:widowControl w:val="1"/>
        <w:ind/>
        <w:jc w:val="center"/>
        <w:rPr>
          <w:b w:val="1"/>
        </w:rPr>
      </w:pPr>
      <w:r>
        <w:rPr>
          <w:b w:val="1"/>
        </w:rPr>
        <w:t>Члены Рабочей группы:</w:t>
      </w:r>
    </w:p>
    <w:tbl>
      <w:tblPr>
        <w:tblStyle w:val="Style_1"/>
        <w:tblW w:type="auto" w:w="0"/>
        <w:tblLayout w:type="fixed"/>
      </w:tblPr>
      <w:tblGrid>
        <w:gridCol w:w="3510"/>
        <w:gridCol w:w="6060"/>
      </w:tblGrid>
      <w:tr>
        <w:tc>
          <w:tcPr>
            <w:tcW w:type="dxa" w:w="3510"/>
            <w:shd w:fill="auto" w:val="clear"/>
            <w:tcMar>
              <w:bottom w:type="dxa" w:w="57"/>
            </w:tcMar>
          </w:tcPr>
          <w:p w14:paraId="84000000">
            <w:pPr>
              <w:widowControl w:val="1"/>
              <w:ind/>
              <w:jc w:val="both"/>
              <w:rPr>
                <w:highlight w:val="white"/>
              </w:rPr>
            </w:pPr>
          </w:p>
        </w:tc>
        <w:tc>
          <w:tcPr>
            <w:tcW w:type="dxa" w:w="6060"/>
            <w:shd w:fill="auto" w:val="clear"/>
            <w:tcMar>
              <w:bottom w:type="dxa" w:w="57"/>
            </w:tcMar>
          </w:tcPr>
          <w:p w14:paraId="85000000">
            <w:pPr>
              <w:widowControl w:val="1"/>
              <w:ind/>
              <w:jc w:val="both"/>
              <w:rPr>
                <w:b w:val="1"/>
              </w:rPr>
            </w:pPr>
            <w:r>
              <w:t>– </w:t>
            </w:r>
            <w:r>
              <w:t>член</w:t>
            </w:r>
            <w:r>
              <w:t xml:space="preserve"> </w:t>
            </w:r>
            <w:r>
              <w:t>Территориальной и</w:t>
            </w:r>
            <w:r>
              <w:t xml:space="preserve">збирательной комиссии </w:t>
            </w:r>
            <w:r>
              <w:rPr>
                <w:rFonts w:ascii="Times New Roman" w:hAnsi="Times New Roman"/>
                <w:sz w:val="28"/>
              </w:rPr>
              <w:t xml:space="preserve">города Таганрога (восточная) Ростовской области </w:t>
            </w:r>
            <w:r>
              <w:t>с правом решающего голоса</w:t>
            </w:r>
          </w:p>
        </w:tc>
      </w:tr>
      <w:tr>
        <w:tc>
          <w:tcPr>
            <w:tcW w:type="dxa" w:w="3510"/>
            <w:shd w:fill="auto" w:val="clear"/>
            <w:tcMar>
              <w:bottom w:type="dxa" w:w="57"/>
            </w:tcMar>
          </w:tcPr>
          <w:p w14:paraId="86000000">
            <w:pPr>
              <w:widowControl w:val="1"/>
              <w:ind/>
              <w:jc w:val="both"/>
            </w:pPr>
          </w:p>
        </w:tc>
        <w:tc>
          <w:tcPr>
            <w:tcW w:type="dxa" w:w="6060"/>
            <w:shd w:fill="auto" w:val="clear"/>
            <w:tcMar>
              <w:bottom w:type="dxa" w:w="57"/>
            </w:tcMar>
          </w:tcPr>
          <w:p w14:paraId="87000000">
            <w:pPr>
              <w:widowControl w:val="1"/>
              <w:ind/>
              <w:jc w:val="both"/>
            </w:pPr>
            <w:r>
              <w:t>– </w:t>
            </w:r>
            <w:r>
              <w:t xml:space="preserve">член Территориальной избирательной комиссии </w:t>
            </w:r>
            <w:r>
              <w:rPr>
                <w:rFonts w:ascii="Times New Roman" w:hAnsi="Times New Roman"/>
                <w:sz w:val="28"/>
              </w:rPr>
              <w:t xml:space="preserve">города Таганрога (восточная) Ростовской области </w:t>
            </w:r>
            <w:r>
              <w:t xml:space="preserve"> с правом решающего голоса</w:t>
            </w:r>
          </w:p>
        </w:tc>
      </w:tr>
      <w:tr>
        <w:tc>
          <w:tcPr>
            <w:tcW w:type="dxa" w:w="3510"/>
            <w:shd w:fill="auto" w:val="clear"/>
            <w:tcMar>
              <w:bottom w:type="dxa" w:w="57"/>
            </w:tcMar>
          </w:tcPr>
          <w:p w14:paraId="88000000">
            <w:pPr>
              <w:widowControl w:val="1"/>
              <w:ind/>
              <w:jc w:val="both"/>
              <w:rPr>
                <w:highlight w:val="white"/>
              </w:rPr>
            </w:pPr>
          </w:p>
        </w:tc>
        <w:tc>
          <w:tcPr>
            <w:tcW w:type="dxa" w:w="6060"/>
            <w:shd w:fill="auto" w:val="clear"/>
            <w:tcMar>
              <w:bottom w:type="dxa" w:w="57"/>
            </w:tcMar>
          </w:tcPr>
          <w:p w14:paraId="89000000">
            <w:pPr>
              <w:widowControl w:val="1"/>
              <w:ind/>
              <w:jc w:val="both"/>
            </w:pPr>
            <w:r>
              <w:t>– </w:t>
            </w:r>
            <w:r>
              <w:t>заместитель председателя</w:t>
            </w:r>
            <w:r>
              <w:t xml:space="preserve"> Территориальной избирательной комиссии </w:t>
            </w:r>
            <w:r>
              <w:rPr>
                <w:rFonts w:ascii="Times New Roman" w:hAnsi="Times New Roman"/>
                <w:sz w:val="28"/>
              </w:rPr>
              <w:t>города Таганрога (восточная) Ростовской области</w:t>
            </w:r>
          </w:p>
        </w:tc>
      </w:tr>
    </w:tbl>
    <w:p w14:paraId="8A000000">
      <w:pPr>
        <w:pStyle w:val="Style_5"/>
      </w:pPr>
    </w:p>
    <w:sectPr>
      <w:pgSz w:h="16840" w:orient="portrait" w:w="11907"/>
      <w:pgMar w:bottom="567" w:footer="1134" w:gutter="0" w:header="567" w:left="1701" w:right="851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360"/>
      </w:pPr>
    </w:lvl>
    <w:lvl w:ilvl="1">
      <w:start w:val="1"/>
      <w:numFmt w:val="lowerLetter"/>
      <w:lvlText w:val="%2."/>
      <w:lvlJc w:val="left"/>
      <w:pPr>
        <w:widowControl w:val="1"/>
        <w:ind w:hanging="360" w:left="1080"/>
      </w:pPr>
    </w:lvl>
    <w:lvl w:ilvl="2">
      <w:start w:val="1"/>
      <w:numFmt w:val="lowerRoman"/>
      <w:lvlText w:val="%3."/>
      <w:lvlJc w:val="right"/>
      <w:pPr>
        <w:widowControl w:val="1"/>
        <w:ind w:hanging="180" w:left="1800"/>
      </w:pPr>
    </w:lvl>
    <w:lvl w:ilvl="3">
      <w:start w:val="1"/>
      <w:numFmt w:val="decimal"/>
      <w:lvlText w:val="%4."/>
      <w:lvlJc w:val="left"/>
      <w:pPr>
        <w:widowControl w:val="1"/>
        <w:ind w:hanging="360" w:left="2520"/>
      </w:pPr>
    </w:lvl>
    <w:lvl w:ilvl="4">
      <w:start w:val="1"/>
      <w:numFmt w:val="lowerLetter"/>
      <w:lvlText w:val="%5."/>
      <w:lvlJc w:val="left"/>
      <w:pPr>
        <w:widowControl w:val="1"/>
        <w:ind w:hanging="360" w:left="3240"/>
      </w:pPr>
    </w:lvl>
    <w:lvl w:ilvl="5">
      <w:start w:val="1"/>
      <w:numFmt w:val="lowerRoman"/>
      <w:lvlText w:val="%6."/>
      <w:lvlJc w:val="right"/>
      <w:pPr>
        <w:widowControl w:val="1"/>
        <w:ind w:hanging="180" w:left="3960"/>
      </w:pPr>
    </w:lvl>
    <w:lvl w:ilvl="6">
      <w:start w:val="1"/>
      <w:numFmt w:val="decimal"/>
      <w:lvlText w:val="%7."/>
      <w:lvlJc w:val="left"/>
      <w:pPr>
        <w:widowControl w:val="1"/>
        <w:ind w:hanging="360" w:left="4680"/>
      </w:pPr>
    </w:lvl>
    <w:lvl w:ilvl="7">
      <w:start w:val="1"/>
      <w:numFmt w:val="lowerLetter"/>
      <w:lvlText w:val="%8."/>
      <w:lvlJc w:val="left"/>
      <w:pPr>
        <w:widowControl w:val="1"/>
        <w:ind w:hanging="360" w:left="5400"/>
      </w:pPr>
    </w:lvl>
    <w:lvl w:ilvl="8">
      <w:start w:val="1"/>
      <w:numFmt w:val="lowerRoman"/>
      <w:lvlText w:val="%9."/>
      <w:lvlJc w:val="right"/>
      <w:pPr>
        <w:widowControl w:val="1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rPr>
      <w:sz w:val="28"/>
    </w:rPr>
  </w:style>
  <w:style w:default="1" w:styleId="Style_7_ch" w:type="character">
    <w:name w:val="Normal"/>
    <w:link w:val="Style_7"/>
    <w:rPr>
      <w:sz w:val="28"/>
    </w:rPr>
  </w:style>
  <w:style w:styleId="Style_8" w:type="paragraph">
    <w:name w:val="toc 2"/>
    <w:next w:val="Style_7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heading 7"/>
    <w:basedOn w:val="Style_7"/>
    <w:next w:val="Style_7"/>
    <w:link w:val="Style_10_ch"/>
    <w:uiPriority w:val="9"/>
    <w:qFormat/>
    <w:pPr>
      <w:widowControl w:val="1"/>
      <w:spacing w:after="60" w:before="240"/>
      <w:ind/>
      <w:outlineLvl w:val="6"/>
    </w:pPr>
    <w:rPr>
      <w:sz w:val="24"/>
    </w:rPr>
  </w:style>
  <w:style w:styleId="Style_10_ch" w:type="character">
    <w:name w:val="heading 7"/>
    <w:basedOn w:val="Style_7_ch"/>
    <w:link w:val="Style_10"/>
    <w:rPr>
      <w:sz w:val="24"/>
    </w:rPr>
  </w:style>
  <w:style w:styleId="Style_11" w:type="paragraph">
    <w:name w:val="Нижний колонтитул Знак"/>
    <w:link w:val="Style_11_ch"/>
    <w:rPr>
      <w:sz w:val="28"/>
    </w:rPr>
  </w:style>
  <w:style w:styleId="Style_11_ch" w:type="character">
    <w:name w:val="Нижний колонтитул Знак"/>
    <w:link w:val="Style_11"/>
    <w:rPr>
      <w:sz w:val="28"/>
    </w:rPr>
  </w:style>
  <w:style w:styleId="Style_12" w:type="paragraph">
    <w:name w:val="toc 6"/>
    <w:next w:val="Style_7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7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ConsPlusCell"/>
    <w:link w:val="Style_14_ch"/>
    <w:pPr>
      <w:widowControl w:val="0"/>
      <w:ind/>
    </w:pPr>
    <w:rPr>
      <w:rFonts w:ascii="Arial" w:hAnsi="Arial"/>
    </w:rPr>
  </w:style>
  <w:style w:styleId="Style_14_ch" w:type="character">
    <w:name w:val="ConsPlusCell"/>
    <w:link w:val="Style_14"/>
    <w:rPr>
      <w:rFonts w:ascii="Arial" w:hAnsi="Arial"/>
    </w:rPr>
  </w:style>
  <w:style w:styleId="Style_15" w:type="paragraph">
    <w:name w:val="Body Text Indent"/>
    <w:basedOn w:val="Style_7"/>
    <w:link w:val="Style_15_ch"/>
    <w:pPr>
      <w:widowControl w:val="1"/>
      <w:ind w:left="2832"/>
      <w:jc w:val="both"/>
    </w:pPr>
    <w:rPr>
      <w:b w:val="1"/>
    </w:rPr>
  </w:style>
  <w:style w:styleId="Style_15_ch" w:type="character">
    <w:name w:val="Body Text Indent"/>
    <w:basedOn w:val="Style_7_ch"/>
    <w:link w:val="Style_15"/>
    <w:rPr>
      <w:b w:val="1"/>
    </w:rPr>
  </w:style>
  <w:style w:styleId="Style_16" w:type="paragraph">
    <w:name w:val="End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17" w:type="paragraph">
    <w:name w:val="heading 3"/>
    <w:basedOn w:val="Style_7"/>
    <w:next w:val="Style_7"/>
    <w:link w:val="Style_17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7_ch" w:type="character">
    <w:name w:val="heading 3"/>
    <w:basedOn w:val="Style_7_ch"/>
    <w:link w:val="Style_17"/>
    <w:rPr>
      <w:rFonts w:ascii="Arial" w:hAnsi="Arial"/>
      <w:b w:val="1"/>
      <w:sz w:val="26"/>
    </w:rPr>
  </w:style>
  <w:style w:styleId="Style_2" w:type="paragraph">
    <w:name w:val="Рабочий"/>
    <w:basedOn w:val="Style_7"/>
    <w:link w:val="Style_2_ch"/>
    <w:pPr>
      <w:widowControl w:val="1"/>
      <w:spacing w:line="360" w:lineRule="auto"/>
      <w:ind w:firstLine="709"/>
      <w:jc w:val="both"/>
    </w:pPr>
    <w:rPr>
      <w:sz w:val="24"/>
    </w:rPr>
  </w:style>
  <w:style w:styleId="Style_2_ch" w:type="character">
    <w:name w:val="Рабочий"/>
    <w:basedOn w:val="Style_7_ch"/>
    <w:link w:val="Style_2"/>
    <w:rPr>
      <w:sz w:val="24"/>
    </w:rPr>
  </w:style>
  <w:style w:styleId="Style_3" w:type="paragraph">
    <w:name w:val="No Spacing"/>
    <w:link w:val="Style_3_ch"/>
    <w:rPr>
      <w:rFonts w:ascii="Calibri" w:hAnsi="Calibri"/>
      <w:sz w:val="22"/>
    </w:rPr>
  </w:style>
  <w:style w:styleId="Style_3_ch" w:type="character">
    <w:name w:val="No Spacing"/>
    <w:link w:val="Style_3"/>
    <w:rPr>
      <w:rFonts w:ascii="Calibri" w:hAnsi="Calibri"/>
      <w:sz w:val="22"/>
    </w:rPr>
  </w:style>
  <w:style w:styleId="Style_18" w:type="paragraph">
    <w:name w:val="Balloon Text"/>
    <w:basedOn w:val="Style_7"/>
    <w:link w:val="Style_18_ch"/>
    <w:rPr>
      <w:rFonts w:ascii="Tahoma" w:hAnsi="Tahoma"/>
      <w:sz w:val="16"/>
    </w:rPr>
  </w:style>
  <w:style w:styleId="Style_18_ch" w:type="character">
    <w:name w:val="Balloon Text"/>
    <w:basedOn w:val="Style_7_ch"/>
    <w:link w:val="Style_18"/>
    <w:rPr>
      <w:rFonts w:ascii="Tahoma" w:hAnsi="Tahoma"/>
      <w:sz w:val="16"/>
    </w:rPr>
  </w:style>
  <w:style w:styleId="Style_19" w:type="paragraph">
    <w:name w:val="ConsPlusNormal"/>
    <w:link w:val="Style_19_ch"/>
    <w:pPr>
      <w:widowControl w:val="0"/>
      <w:ind w:firstLine="720"/>
    </w:pPr>
    <w:rPr>
      <w:rFonts w:ascii="Arial" w:hAnsi="Arial"/>
    </w:rPr>
  </w:style>
  <w:style w:styleId="Style_19_ch" w:type="character">
    <w:name w:val="ConsPlusNormal"/>
    <w:link w:val="Style_19"/>
    <w:rPr>
      <w:rFonts w:ascii="Arial" w:hAnsi="Arial"/>
    </w:rPr>
  </w:style>
  <w:style w:styleId="Style_20" w:type="paragraph">
    <w:name w:val="Body Text"/>
    <w:basedOn w:val="Style_7"/>
    <w:link w:val="Style_20_ch"/>
    <w:pPr>
      <w:widowControl w:val="1"/>
      <w:spacing w:line="360" w:lineRule="auto"/>
      <w:ind/>
      <w:jc w:val="both"/>
    </w:pPr>
  </w:style>
  <w:style w:styleId="Style_20_ch" w:type="character">
    <w:name w:val="Body Text"/>
    <w:basedOn w:val="Style_7_ch"/>
    <w:link w:val="Style_20"/>
  </w:style>
  <w:style w:styleId="Style_21" w:type="paragraph">
    <w:name w:val="Заголовок 11"/>
    <w:basedOn w:val="Style_7"/>
    <w:link w:val="Style_21_ch"/>
    <w:pPr>
      <w:keepNext w:val="1"/>
      <w:widowControl w:val="1"/>
      <w:ind/>
      <w:outlineLvl w:val="0"/>
    </w:pPr>
    <w:rPr>
      <w:b w:val="1"/>
      <w:sz w:val="36"/>
    </w:rPr>
  </w:style>
  <w:style w:styleId="Style_21_ch" w:type="character">
    <w:name w:val="Заголовок 11"/>
    <w:basedOn w:val="Style_7_ch"/>
    <w:link w:val="Style_21"/>
    <w:rPr>
      <w:b w:val="1"/>
      <w:sz w:val="36"/>
    </w:rPr>
  </w:style>
  <w:style w:styleId="Style_22" w:type="paragraph">
    <w:name w:val="Body Text 2"/>
    <w:basedOn w:val="Style_7"/>
    <w:link w:val="Style_22_ch"/>
    <w:pPr>
      <w:widowControl w:val="1"/>
      <w:spacing w:after="120" w:line="480" w:lineRule="auto"/>
      <w:ind/>
    </w:pPr>
  </w:style>
  <w:style w:styleId="Style_22_ch" w:type="character">
    <w:name w:val="Body Text 2"/>
    <w:basedOn w:val="Style_7_ch"/>
    <w:link w:val="Style_22"/>
  </w:style>
  <w:style w:styleId="Style_4" w:type="paragraph">
    <w:name w:val="Содерж"/>
    <w:basedOn w:val="Style_7"/>
    <w:link w:val="Style_4_ch"/>
    <w:pPr>
      <w:keepNext w:val="1"/>
      <w:widowControl w:val="1"/>
      <w:spacing w:after="120"/>
      <w:ind/>
      <w:jc w:val="center"/>
    </w:pPr>
    <w:rPr>
      <w:b w:val="1"/>
    </w:rPr>
  </w:style>
  <w:style w:styleId="Style_4_ch" w:type="character">
    <w:name w:val="Содерж"/>
    <w:basedOn w:val="Style_7_ch"/>
    <w:link w:val="Style_4"/>
    <w:rPr>
      <w:b w:val="1"/>
    </w:rPr>
  </w:style>
  <w:style w:styleId="Style_23" w:type="paragraph">
    <w:name w:val="Заголовочек 1"/>
    <w:basedOn w:val="Style_7"/>
    <w:link w:val="Style_23_ch"/>
    <w:pPr>
      <w:widowControl w:val="1"/>
      <w:spacing w:line="360" w:lineRule="auto"/>
      <w:ind/>
      <w:jc w:val="center"/>
    </w:pPr>
    <w:rPr>
      <w:b w:val="1"/>
      <w:smallCaps w:val="1"/>
      <w:spacing w:val="60"/>
    </w:rPr>
  </w:style>
  <w:style w:styleId="Style_23_ch" w:type="character">
    <w:name w:val="Заголовочек 1"/>
    <w:basedOn w:val="Style_7_ch"/>
    <w:link w:val="Style_23"/>
    <w:rPr>
      <w:b w:val="1"/>
      <w:smallCaps w:val="1"/>
      <w:spacing w:val="60"/>
    </w:rPr>
  </w:style>
  <w:style w:styleId="Style_24" w:type="paragraph">
    <w:name w:val="footer"/>
    <w:basedOn w:val="Style_7"/>
    <w:link w:val="Style_24_ch"/>
    <w:pPr>
      <w:widowControl w:val="1"/>
      <w:tabs>
        <w:tab w:leader="none" w:pos="4677" w:val="center"/>
        <w:tab w:leader="none" w:pos="9355" w:val="right"/>
      </w:tabs>
      <w:ind/>
    </w:pPr>
  </w:style>
  <w:style w:styleId="Style_24_ch" w:type="character">
    <w:name w:val="footer"/>
    <w:basedOn w:val="Style_7_ch"/>
    <w:link w:val="Style_24"/>
  </w:style>
  <w:style w:styleId="Style_25" w:type="paragraph">
    <w:name w:val="Body Text Indent 2"/>
    <w:basedOn w:val="Style_7"/>
    <w:link w:val="Style_25_ch"/>
    <w:pPr>
      <w:widowControl w:val="1"/>
      <w:ind w:firstLine="851"/>
    </w:pPr>
  </w:style>
  <w:style w:styleId="Style_25_ch" w:type="character">
    <w:name w:val="Body Text Indent 2"/>
    <w:basedOn w:val="Style_7_ch"/>
    <w:link w:val="Style_25"/>
  </w:style>
  <w:style w:styleId="Style_6" w:type="paragraph">
    <w:name w:val="Текст 14-1.5.Стиль12-1"/>
    <w:basedOn w:val="Style_7"/>
    <w:link w:val="Style_6_ch"/>
    <w:pPr>
      <w:widowControl w:val="1"/>
      <w:spacing w:line="360" w:lineRule="auto"/>
      <w:ind w:firstLine="709"/>
      <w:jc w:val="both"/>
    </w:pPr>
    <w:rPr>
      <w:sz w:val="24"/>
    </w:rPr>
  </w:style>
  <w:style w:styleId="Style_6_ch" w:type="character">
    <w:name w:val="Текст 14-1.5.Стиль12-1"/>
    <w:basedOn w:val="Style_7_ch"/>
    <w:link w:val="Style_6"/>
    <w:rPr>
      <w:sz w:val="24"/>
    </w:rPr>
  </w:style>
  <w:style w:styleId="Style_5" w:type="paragraph">
    <w:name w:val="Проектный"/>
    <w:basedOn w:val="Style_7"/>
    <w:link w:val="Style_5_ch"/>
    <w:pPr>
      <w:widowControl w:val="1"/>
      <w:spacing w:after="120" w:line="360" w:lineRule="auto"/>
      <w:ind w:firstLine="709"/>
      <w:jc w:val="both"/>
    </w:pPr>
  </w:style>
  <w:style w:styleId="Style_5_ch" w:type="character">
    <w:name w:val="Проектный"/>
    <w:basedOn w:val="Style_7_ch"/>
    <w:link w:val="Style_5"/>
  </w:style>
  <w:style w:styleId="Style_26" w:type="paragraph">
    <w:name w:val="Body Text 3"/>
    <w:basedOn w:val="Style_7"/>
    <w:link w:val="Style_26_ch"/>
    <w:pPr>
      <w:widowControl w:val="1"/>
      <w:spacing w:after="120"/>
      <w:ind/>
    </w:pPr>
    <w:rPr>
      <w:sz w:val="16"/>
    </w:rPr>
  </w:style>
  <w:style w:styleId="Style_26_ch" w:type="character">
    <w:name w:val="Body Text 3"/>
    <w:basedOn w:val="Style_7_ch"/>
    <w:link w:val="Style_26"/>
    <w:rPr>
      <w:sz w:val="16"/>
    </w:rPr>
  </w:style>
  <w:style w:styleId="Style_27" w:type="paragraph">
    <w:name w:val="ConsNonformat"/>
    <w:link w:val="Style_27_ch"/>
    <w:pPr>
      <w:widowControl w:val="0"/>
      <w:ind/>
    </w:pPr>
    <w:rPr>
      <w:rFonts w:ascii="Courier New" w:hAnsi="Courier New"/>
    </w:rPr>
  </w:style>
  <w:style w:styleId="Style_27_ch" w:type="character">
    <w:name w:val="ConsNonformat"/>
    <w:link w:val="Style_27"/>
    <w:rPr>
      <w:rFonts w:ascii="Courier New" w:hAnsi="Courier New"/>
    </w:rPr>
  </w:style>
  <w:style w:styleId="Style_28" w:type="paragraph">
    <w:name w:val="toc 3"/>
    <w:next w:val="Style_7"/>
    <w:link w:val="Style_2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8_ch" w:type="character">
    <w:name w:val="toc 3"/>
    <w:link w:val="Style_28"/>
    <w:rPr>
      <w:rFonts w:ascii="XO Thames" w:hAnsi="XO Thames"/>
      <w:sz w:val="28"/>
    </w:rPr>
  </w:style>
  <w:style w:styleId="Style_29" w:type="paragraph">
    <w:name w:val="Верхний колонтитул1"/>
    <w:basedOn w:val="Style_7"/>
    <w:link w:val="Style_29_ch"/>
    <w:pPr>
      <w:widowControl w:val="1"/>
      <w:tabs>
        <w:tab w:leader="none" w:pos="4536" w:val="center"/>
        <w:tab w:leader="none" w:pos="9072" w:val="right"/>
      </w:tabs>
      <w:ind/>
    </w:pPr>
    <w:rPr>
      <w:sz w:val="20"/>
    </w:rPr>
  </w:style>
  <w:style w:styleId="Style_29_ch" w:type="character">
    <w:name w:val="Верхний колонтитул1"/>
    <w:basedOn w:val="Style_7_ch"/>
    <w:link w:val="Style_29"/>
    <w:rPr>
      <w:sz w:val="20"/>
    </w:rPr>
  </w:style>
  <w:style w:styleId="Style_30" w:type="paragraph">
    <w:name w:val="heading 5"/>
    <w:basedOn w:val="Style_7"/>
    <w:next w:val="Style_7"/>
    <w:link w:val="Style_30_ch"/>
    <w:uiPriority w:val="9"/>
    <w:qFormat/>
    <w:pPr>
      <w:widowControl w:val="1"/>
      <w:spacing w:after="60" w:before="240"/>
      <w:ind/>
      <w:outlineLvl w:val="4"/>
    </w:pPr>
    <w:rPr>
      <w:b w:val="1"/>
      <w:i w:val="1"/>
      <w:sz w:val="26"/>
    </w:rPr>
  </w:style>
  <w:style w:styleId="Style_30_ch" w:type="character">
    <w:name w:val="heading 5"/>
    <w:basedOn w:val="Style_7_ch"/>
    <w:link w:val="Style_30"/>
    <w:rPr>
      <w:b w:val="1"/>
      <w:i w:val="1"/>
      <w:sz w:val="26"/>
    </w:rPr>
  </w:style>
  <w:style w:styleId="Style_31" w:type="paragraph">
    <w:name w:val="heading 1"/>
    <w:basedOn w:val="Style_7"/>
    <w:next w:val="Style_7"/>
    <w:link w:val="Style_31_ch"/>
    <w:uiPriority w:val="9"/>
    <w:qFormat/>
    <w:pPr>
      <w:keepNext w:val="1"/>
      <w:widowControl w:val="1"/>
      <w:ind/>
      <w:outlineLvl w:val="0"/>
    </w:pPr>
  </w:style>
  <w:style w:styleId="Style_31_ch" w:type="character">
    <w:name w:val="heading 1"/>
    <w:basedOn w:val="Style_7_ch"/>
    <w:link w:val="Style_31"/>
  </w:style>
  <w:style w:styleId="Style_32" w:type="paragraph">
    <w:name w:val="Текст выноски Знак"/>
    <w:link w:val="Style_32_ch"/>
    <w:rPr>
      <w:rFonts w:ascii="Tahoma" w:hAnsi="Tahoma"/>
      <w:sz w:val="16"/>
    </w:rPr>
  </w:style>
  <w:style w:styleId="Style_32_ch" w:type="character">
    <w:name w:val="Текст выноски Знак"/>
    <w:link w:val="Style_32"/>
    <w:rPr>
      <w:rFonts w:ascii="Tahoma" w:hAnsi="Tahoma"/>
      <w:sz w:val="16"/>
    </w:rPr>
  </w:style>
  <w:style w:styleId="Style_33" w:type="paragraph">
    <w:name w:val="Default Paragraph Font"/>
    <w:link w:val="Style_33_ch"/>
  </w:style>
  <w:style w:styleId="Style_33_ch" w:type="character">
    <w:name w:val="Default Paragraph Font"/>
    <w:link w:val="Style_33"/>
  </w:style>
  <w:style w:styleId="Style_34" w:type="paragraph">
    <w:name w:val="header"/>
    <w:basedOn w:val="Style_7"/>
    <w:link w:val="Style_34_ch"/>
    <w:pPr>
      <w:widowControl w:val="1"/>
      <w:tabs>
        <w:tab w:leader="none" w:pos="4677" w:val="center"/>
        <w:tab w:leader="none" w:pos="9355" w:val="right"/>
      </w:tabs>
      <w:ind/>
    </w:pPr>
  </w:style>
  <w:style w:styleId="Style_34_ch" w:type="character">
    <w:name w:val="header"/>
    <w:basedOn w:val="Style_7_ch"/>
    <w:link w:val="Style_34"/>
  </w:style>
  <w:style w:styleId="Style_35" w:type="paragraph">
    <w:name w:val="Hyperlink"/>
    <w:link w:val="Style_35_ch"/>
    <w:rPr>
      <w:color w:val="0000FF"/>
      <w:u w:val="single"/>
    </w:rPr>
  </w:style>
  <w:style w:styleId="Style_35_ch" w:type="character">
    <w:name w:val="Hyperlink"/>
    <w:link w:val="Style_35"/>
    <w:rPr>
      <w:color w:val="0000FF"/>
      <w:u w:val="single"/>
    </w:rPr>
  </w:style>
  <w:style w:styleId="Style_36" w:type="paragraph">
    <w:name w:val="Footnote"/>
    <w:basedOn w:val="Style_7"/>
    <w:link w:val="Style_36_ch"/>
    <w:rPr>
      <w:rFonts w:ascii="Arial" w:hAnsi="Arial"/>
      <w:sz w:val="24"/>
    </w:rPr>
  </w:style>
  <w:style w:styleId="Style_36_ch" w:type="character">
    <w:name w:val="Footnote"/>
    <w:basedOn w:val="Style_7_ch"/>
    <w:link w:val="Style_36"/>
    <w:rPr>
      <w:rFonts w:ascii="Arial" w:hAnsi="Arial"/>
      <w:sz w:val="24"/>
    </w:rPr>
  </w:style>
  <w:style w:styleId="Style_37" w:type="paragraph">
    <w:name w:val="toc 1"/>
    <w:next w:val="Style_7"/>
    <w:link w:val="Style_3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7_ch" w:type="character">
    <w:name w:val="toc 1"/>
    <w:link w:val="Style_37"/>
    <w:rPr>
      <w:rFonts w:ascii="XO Thames" w:hAnsi="XO Thames"/>
      <w:b w:val="1"/>
      <w:sz w:val="28"/>
    </w:rPr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ConsPlusNonformat"/>
    <w:link w:val="Style_39_ch"/>
    <w:pPr>
      <w:widowControl w:val="0"/>
      <w:ind/>
    </w:pPr>
    <w:rPr>
      <w:rFonts w:ascii="Courier New" w:hAnsi="Courier New"/>
    </w:rPr>
  </w:style>
  <w:style w:styleId="Style_39_ch" w:type="character">
    <w:name w:val="ConsPlusNonformat"/>
    <w:link w:val="Style_39"/>
    <w:rPr>
      <w:rFonts w:ascii="Courier New" w:hAnsi="Courier New"/>
    </w:rPr>
  </w:style>
  <w:style w:styleId="Style_40" w:type="paragraph">
    <w:name w:val="Верхний колонтитул Знак1"/>
    <w:link w:val="Style_40_ch"/>
    <w:rPr>
      <w:rFonts w:ascii="Times New Roman" w:hAnsi="Times New Roman"/>
      <w:sz w:val="24"/>
    </w:rPr>
  </w:style>
  <w:style w:styleId="Style_40_ch" w:type="character">
    <w:name w:val="Верхний колонтитул Знак1"/>
    <w:link w:val="Style_40"/>
    <w:rPr>
      <w:rFonts w:ascii="Times New Roman" w:hAnsi="Times New Roman"/>
      <w:sz w:val="24"/>
    </w:rPr>
  </w:style>
  <w:style w:styleId="Style_41" w:type="paragraph">
    <w:name w:val="toc 9"/>
    <w:next w:val="Style_7"/>
    <w:link w:val="Style_4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41_ch" w:type="character">
    <w:name w:val="toc 9"/>
    <w:link w:val="Style_41"/>
    <w:rPr>
      <w:rFonts w:ascii="XO Thames" w:hAnsi="XO Thames"/>
      <w:sz w:val="28"/>
    </w:rPr>
  </w:style>
  <w:style w:styleId="Style_42" w:type="paragraph">
    <w:name w:val="Стиль1"/>
    <w:basedOn w:val="Style_7"/>
    <w:link w:val="Style_42_ch"/>
  </w:style>
  <w:style w:styleId="Style_42_ch" w:type="character">
    <w:name w:val="Стиль1"/>
    <w:basedOn w:val="Style_7_ch"/>
    <w:link w:val="Style_42"/>
  </w:style>
  <w:style w:styleId="Style_43" w:type="paragraph">
    <w:name w:val="toc 8"/>
    <w:next w:val="Style_7"/>
    <w:link w:val="Style_4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3_ch" w:type="character">
    <w:name w:val="toc 8"/>
    <w:link w:val="Style_43"/>
    <w:rPr>
      <w:rFonts w:ascii="XO Thames" w:hAnsi="XO Thames"/>
      <w:sz w:val="28"/>
    </w:rPr>
  </w:style>
  <w:style w:styleId="Style_44" w:type="paragraph">
    <w:name w:val="page number"/>
    <w:basedOn w:val="Style_33"/>
    <w:link w:val="Style_44_ch"/>
  </w:style>
  <w:style w:styleId="Style_44_ch" w:type="character">
    <w:name w:val="page number"/>
    <w:basedOn w:val="Style_33_ch"/>
    <w:link w:val="Style_44"/>
  </w:style>
  <w:style w:styleId="Style_45" w:type="paragraph">
    <w:name w:val="Загл.14"/>
    <w:basedOn w:val="Style_7"/>
    <w:link w:val="Style_45_ch"/>
    <w:pPr>
      <w:widowControl w:val="0"/>
      <w:ind/>
      <w:jc w:val="center"/>
    </w:pPr>
    <w:rPr>
      <w:b w:val="1"/>
    </w:rPr>
  </w:style>
  <w:style w:styleId="Style_45_ch" w:type="character">
    <w:name w:val="Загл.14"/>
    <w:basedOn w:val="Style_7_ch"/>
    <w:link w:val="Style_45"/>
    <w:rPr>
      <w:b w:val="1"/>
    </w:rPr>
  </w:style>
  <w:style w:styleId="Style_46" w:type="paragraph">
    <w:name w:val="Адресат"/>
    <w:basedOn w:val="Style_7"/>
    <w:link w:val="Style_46_ch"/>
    <w:pPr>
      <w:widowControl w:val="1"/>
      <w:ind w:left="3969"/>
      <w:jc w:val="both"/>
    </w:pPr>
    <w:rPr>
      <w:sz w:val="16"/>
    </w:rPr>
  </w:style>
  <w:style w:styleId="Style_46_ch" w:type="character">
    <w:name w:val="Адресат"/>
    <w:basedOn w:val="Style_7_ch"/>
    <w:link w:val="Style_46"/>
    <w:rPr>
      <w:sz w:val="16"/>
    </w:rPr>
  </w:style>
  <w:style w:styleId="Style_47" w:type="paragraph">
    <w:name w:val="toc 5"/>
    <w:next w:val="Style_7"/>
    <w:link w:val="Style_4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7_ch" w:type="character">
    <w:name w:val="toc 5"/>
    <w:link w:val="Style_47"/>
    <w:rPr>
      <w:rFonts w:ascii="XO Thames" w:hAnsi="XO Thames"/>
      <w:sz w:val="28"/>
    </w:rPr>
  </w:style>
  <w:style w:styleId="Style_48" w:type="paragraph">
    <w:name w:val="footnote reference"/>
    <w:link w:val="Style_48_ch"/>
    <w:rPr>
      <w:vertAlign w:val="superscript"/>
    </w:rPr>
  </w:style>
  <w:style w:styleId="Style_48_ch" w:type="character">
    <w:name w:val="footnote reference"/>
    <w:link w:val="Style_48"/>
    <w:rPr>
      <w:vertAlign w:val="superscript"/>
    </w:rPr>
  </w:style>
  <w:style w:styleId="Style_49" w:type="paragraph">
    <w:name w:val="Subtitle"/>
    <w:next w:val="Style_7"/>
    <w:link w:val="Style_4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9_ch" w:type="character">
    <w:name w:val="Subtitle"/>
    <w:link w:val="Style_49"/>
    <w:rPr>
      <w:rFonts w:ascii="XO Thames" w:hAnsi="XO Thames"/>
      <w:i w:val="1"/>
      <w:sz w:val="24"/>
    </w:rPr>
  </w:style>
  <w:style w:styleId="Style_50" w:type="paragraph">
    <w:name w:val="Body Text Indent 3"/>
    <w:basedOn w:val="Style_7"/>
    <w:link w:val="Style_50_ch"/>
    <w:pPr>
      <w:widowControl w:val="1"/>
      <w:spacing w:line="360" w:lineRule="auto"/>
      <w:ind w:hanging="4962" w:left="5529"/>
      <w:jc w:val="both"/>
    </w:pPr>
  </w:style>
  <w:style w:styleId="Style_50_ch" w:type="character">
    <w:name w:val="Body Text Indent 3"/>
    <w:basedOn w:val="Style_7_ch"/>
    <w:link w:val="Style_50"/>
  </w:style>
  <w:style w:styleId="Style_51" w:type="paragraph">
    <w:name w:val="List Paragraph"/>
    <w:basedOn w:val="Style_7"/>
    <w:link w:val="Style_51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51_ch" w:type="character">
    <w:name w:val="List Paragraph"/>
    <w:basedOn w:val="Style_7_ch"/>
    <w:link w:val="Style_51"/>
    <w:rPr>
      <w:rFonts w:ascii="Calibri" w:hAnsi="Calibri"/>
      <w:sz w:val="22"/>
    </w:rPr>
  </w:style>
  <w:style w:styleId="Style_52" w:type="paragraph">
    <w:name w:val="Т-1"/>
    <w:basedOn w:val="Style_7"/>
    <w:link w:val="Style_52_ch"/>
    <w:pPr>
      <w:widowControl w:val="1"/>
      <w:spacing w:line="360" w:lineRule="auto"/>
      <w:ind w:firstLine="720"/>
      <w:jc w:val="both"/>
    </w:pPr>
  </w:style>
  <w:style w:styleId="Style_52_ch" w:type="character">
    <w:name w:val="Т-1"/>
    <w:basedOn w:val="Style_7_ch"/>
    <w:link w:val="Style_52"/>
  </w:style>
  <w:style w:styleId="Style_53" w:type="paragraph">
    <w:name w:val="Title"/>
    <w:next w:val="Style_7"/>
    <w:link w:val="Style_5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53_ch" w:type="character">
    <w:name w:val="Title"/>
    <w:link w:val="Style_53"/>
    <w:rPr>
      <w:rFonts w:ascii="XO Thames" w:hAnsi="XO Thames"/>
      <w:b w:val="1"/>
      <w:caps w:val="1"/>
      <w:sz w:val="40"/>
    </w:rPr>
  </w:style>
  <w:style w:styleId="Style_54" w:type="paragraph">
    <w:name w:val="heading 4"/>
    <w:basedOn w:val="Style_7"/>
    <w:next w:val="Style_7"/>
    <w:link w:val="Style_54_ch"/>
    <w:uiPriority w:val="9"/>
    <w:qFormat/>
    <w:pPr>
      <w:keepNext w:val="1"/>
      <w:widowControl w:val="1"/>
      <w:spacing w:line="360" w:lineRule="auto"/>
      <w:ind/>
      <w:jc w:val="center"/>
      <w:outlineLvl w:val="3"/>
    </w:pPr>
  </w:style>
  <w:style w:styleId="Style_54_ch" w:type="character">
    <w:name w:val="heading 4"/>
    <w:basedOn w:val="Style_7_ch"/>
    <w:link w:val="Style_54"/>
  </w:style>
  <w:style w:styleId="Style_55" w:type="paragraph">
    <w:name w:val="heading 2"/>
    <w:basedOn w:val="Style_7"/>
    <w:next w:val="Style_7"/>
    <w:link w:val="Style_55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55_ch" w:type="character">
    <w:name w:val="heading 2"/>
    <w:basedOn w:val="Style_7_ch"/>
    <w:link w:val="Style_55"/>
    <w:rPr>
      <w:b w:val="1"/>
    </w:rPr>
  </w:style>
  <w:style w:styleId="Style_56" w:type="paragraph">
    <w:name w:val="Block Text"/>
    <w:basedOn w:val="Style_7"/>
    <w:link w:val="Style_56_ch"/>
    <w:pPr>
      <w:widowControl w:val="1"/>
      <w:tabs>
        <w:tab w:leader="none" w:pos="7938" w:val="left"/>
      </w:tabs>
      <w:ind w:left="1710" w:right="1717"/>
      <w:jc w:val="both"/>
    </w:pPr>
    <w:rPr>
      <w:rFonts w:ascii="Times New Roman CYR" w:hAnsi="Times New Roman CYR"/>
      <w:b w:val="1"/>
    </w:rPr>
  </w:style>
  <w:style w:styleId="Style_56_ch" w:type="character">
    <w:name w:val="Block Text"/>
    <w:basedOn w:val="Style_7_ch"/>
    <w:link w:val="Style_56"/>
    <w:rPr>
      <w:rFonts w:ascii="Times New Roman CYR" w:hAnsi="Times New Roman CYR"/>
      <w:b w:val="1"/>
    </w:rPr>
  </w:style>
  <w:style w:styleId="Style_57" w:type="paragraph">
    <w:name w:val="heading 6"/>
    <w:basedOn w:val="Style_7"/>
    <w:next w:val="Style_7"/>
    <w:link w:val="Style_57_ch"/>
    <w:uiPriority w:val="9"/>
    <w:qFormat/>
    <w:pPr>
      <w:widowControl w:val="1"/>
      <w:spacing w:after="60" w:before="240"/>
      <w:ind/>
      <w:outlineLvl w:val="5"/>
    </w:pPr>
    <w:rPr>
      <w:rFonts w:ascii="Calibri" w:hAnsi="Calibri"/>
      <w:b w:val="1"/>
      <w:sz w:val="22"/>
    </w:rPr>
  </w:style>
  <w:style w:styleId="Style_57_ch" w:type="character">
    <w:name w:val="heading 6"/>
    <w:basedOn w:val="Style_7_ch"/>
    <w:link w:val="Style_57"/>
    <w:rPr>
      <w:rFonts w:ascii="Calibri" w:hAnsi="Calibri"/>
      <w:b w:val="1"/>
      <w:sz w:val="22"/>
    </w:rPr>
  </w:style>
  <w:style w:styleId="Style_58" w:type="table">
    <w:name w:val="Сетка таблицы2"/>
    <w:basedOn w:val="Style_1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9" w:type="table">
    <w:name w:val="Table Grid"/>
    <w:basedOn w:val="Style_1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0" w:type="table">
    <w:name w:val="Сетка таблицы1"/>
    <w:basedOn w:val="Style_1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2026-07-03T13:58:04Z</dcterms:created>
  <dcterms:modified xsi:type="dcterms:W3CDTF">2026-07-03T13:58:04Z</dcterms:modified>
</cp:coreProperties>
</file>