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3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6000000">
      <w:pPr>
        <w:widowControl w:val="0"/>
        <w:spacing w:after="0" w:line="240" w:lineRule="auto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2475" cy="78105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4"/>
                    <a:srcRect b="0" l="0" r="0" t="0"/>
                    <a:stretch/>
                  </pic:blipFill>
                  <pic:spPr>
                    <a:xfrm flipH="false" flipV="false" rot="0">
                      <a:ext cx="752475" cy="7810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7000000">
      <w:pPr>
        <w:widowControl w:val="0"/>
        <w:spacing w:after="0" w:line="240" w:lineRule="auto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8000000">
      <w:pPr>
        <w:widowControl w:val="0"/>
        <w:spacing w:after="0" w:line="240" w:lineRule="auto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ГОРОДА</w:t>
      </w:r>
      <w:r>
        <w:rPr>
          <w:rFonts w:ascii="Times New Roman" w:hAnsi="Times New Roman"/>
          <w:b w:val="1"/>
          <w:sz w:val="28"/>
        </w:rPr>
        <w:t xml:space="preserve"> ТАГАНРОГА</w:t>
      </w:r>
      <w:r>
        <w:rPr>
          <w:rFonts w:ascii="Times New Roman" w:hAnsi="Times New Roman"/>
          <w:b w:val="1"/>
          <w:sz w:val="28"/>
        </w:rPr>
        <w:t xml:space="preserve"> (ВОСТОЧНАЯ</w:t>
      </w:r>
      <w:r>
        <w:rPr>
          <w:rFonts w:ascii="Times New Roman" w:hAnsi="Times New Roman"/>
          <w:b w:val="1"/>
          <w:sz w:val="28"/>
        </w:rPr>
        <w:t>)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РОСТОВСКОЙ ОБЛАСТИ</w:t>
      </w:r>
    </w:p>
    <w:p w14:paraId="09000000">
      <w:pPr>
        <w:widowControl w:val="0"/>
        <w:spacing w:after="0" w:line="240" w:lineRule="auto"/>
        <w:ind w:firstLine="0" w:left="0"/>
        <w:jc w:val="center"/>
        <w:rPr>
          <w:rFonts w:ascii="Times New Roman" w:hAnsi="Times New Roman"/>
          <w:b w:val="1"/>
          <w:sz w:val="28"/>
        </w:rPr>
      </w:pPr>
    </w:p>
    <w:p w14:paraId="0A000000">
      <w:pPr>
        <w:widowControl w:val="0"/>
        <w:spacing w:after="0" w:line="240" w:lineRule="auto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B000000">
      <w:pPr>
        <w:widowControl w:val="0"/>
        <w:spacing w:after="0" w:line="240" w:lineRule="auto"/>
        <w:ind w:firstLine="567" w:left="0"/>
        <w:jc w:val="center"/>
        <w:rPr>
          <w:rFonts w:ascii="Times New Roman" w:hAnsi="Times New Roman"/>
          <w:b w:val="1"/>
          <w:sz w:val="28"/>
        </w:rPr>
      </w:pPr>
    </w:p>
    <w:p w14:paraId="0C000000">
      <w:pPr>
        <w:widowControl w:val="0"/>
        <w:spacing w:after="0" w:line="240" w:lineRule="auto"/>
        <w:ind w:firstLine="0" w:left="0"/>
        <w:jc w:val="center"/>
        <w:rPr>
          <w:rFonts w:ascii="Times New Roman" w:hAnsi="Times New Roman"/>
          <w:sz w:val="24"/>
          <w:shd w:fill="FFD821" w:val="clear"/>
        </w:rPr>
      </w:pPr>
      <w:r>
        <w:rPr>
          <w:rFonts w:ascii="Times New Roman" w:hAnsi="Times New Roman"/>
          <w:sz w:val="28"/>
        </w:rPr>
        <w:t>19 августа 2026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№ 12-1</w:t>
      </w:r>
      <w:r>
        <w:br/>
      </w:r>
      <w:r>
        <w:rPr>
          <w:rFonts w:ascii="Times New Roman" w:hAnsi="Times New Roman"/>
          <w:sz w:val="24"/>
        </w:rPr>
        <w:t>г. Таганрог</w:t>
      </w:r>
    </w:p>
    <w:p w14:paraId="0D000000">
      <w:pPr>
        <w:widowControl w:val="1"/>
        <w:ind w:right="-1"/>
        <w:jc w:val="center"/>
        <w:rPr>
          <w:sz w:val="28"/>
        </w:rPr>
      </w:pPr>
    </w:p>
    <w:p w14:paraId="0E000000">
      <w:pPr>
        <w:widowControl w:val="1"/>
        <w:ind w:right="-185"/>
        <w:jc w:val="center"/>
      </w:pPr>
    </w:p>
    <w:tbl>
      <w:tblPr>
        <w:tblStyle w:val="Style_3"/>
        <w:tblW w:type="auto" w:w="0"/>
        <w:jc w:val="center"/>
        <w:tblLayout w:type="fixed"/>
      </w:tblPr>
      <w:tblGrid>
        <w:gridCol w:w="6184"/>
      </w:tblGrid>
      <w:tr>
        <w:trPr>
          <w:trHeight w:hRule="atLeast" w:val="3885"/>
        </w:trPr>
        <w:tc>
          <w:tcPr>
            <w:tcW w:type="dxa" w:w="6184"/>
          </w:tcPr>
          <w:p w14:paraId="0F000000">
            <w:pPr>
              <w:widowControl w:val="1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Style w:val="Style_4_ch"/>
                <w:color w:themeColor="text1" w:val="000000"/>
                <w:sz w:val="28"/>
                <w:highlight w:val="white"/>
              </w:rPr>
              <w:t>О</w:t>
            </w:r>
            <w:r>
              <w:rPr>
                <w:rStyle w:val="Style_4_ch"/>
                <w:color w:themeColor="text1" w:val="000000"/>
                <w:sz w:val="28"/>
                <w:highlight w:val="white"/>
              </w:rPr>
              <w:t>б утверждении протокол</w:t>
            </w:r>
            <w:r>
              <w:rPr>
                <w:rStyle w:val="Style_4_ch"/>
                <w:color w:themeColor="text1" w:val="000000"/>
                <w:sz w:val="28"/>
                <w:highlight w:val="white"/>
              </w:rPr>
              <w:t>ов</w:t>
            </w:r>
            <w:r>
              <w:rPr>
                <w:rStyle w:val="Style_4_ch"/>
                <w:color w:themeColor="text1" w:val="000000"/>
                <w:sz w:val="28"/>
                <w:highlight w:val="white"/>
              </w:rPr>
              <w:t xml:space="preserve"> жеребьевки по распределению между политическими партиями,</w:t>
            </w:r>
            <w:r>
              <w:rPr>
                <w:rStyle w:val="Style_4_ch"/>
                <w:color w:themeColor="text1" w:val="000000"/>
                <w:sz w:val="28"/>
                <w:highlight w:val="white"/>
              </w:rPr>
              <w:t xml:space="preserve"> </w:t>
            </w:r>
            <w:r>
              <w:rPr>
                <w:rStyle w:val="Style_4_ch"/>
                <w:color w:themeColor="text1" w:val="000000"/>
                <w:sz w:val="28"/>
                <w:highlight w:val="white"/>
              </w:rPr>
              <w:t>зарегистрированными кандидатам</w:t>
            </w:r>
            <w:r>
              <w:rPr>
                <w:rStyle w:val="Style_4_ch"/>
                <w:color w:themeColor="text1" w:val="000000"/>
                <w:sz w:val="28"/>
                <w:highlight w:val="white"/>
              </w:rPr>
              <w:t>и</w:t>
            </w:r>
            <w:r>
              <w:rPr>
                <w:rStyle w:val="Style_4_ch"/>
                <w:color w:themeColor="text1" w:val="000000"/>
                <w:sz w:val="28"/>
                <w:highlight w:val="white"/>
              </w:rPr>
              <w:t xml:space="preserve"> </w:t>
            </w:r>
            <w:r>
              <w:rPr>
                <w:rStyle w:val="Style_4_ch"/>
                <w:color w:themeColor="text1" w:val="000000"/>
                <w:sz w:val="28"/>
                <w:highlight w:val="white"/>
              </w:rPr>
              <w:t xml:space="preserve">бесплатной печатной площади для публикации предвыборных агитационных материалов в региональных государственных периодических печатных изданиях </w:t>
            </w:r>
            <w:r>
              <w:rPr>
                <w:b w:val="1"/>
                <w:sz w:val="28"/>
              </w:rPr>
              <w:t>при проведении</w:t>
            </w:r>
            <w:r>
              <w:rPr>
                <w:b w:val="1"/>
                <w:sz w:val="28"/>
              </w:rPr>
              <w:t xml:space="preserve"> выбор</w:t>
            </w:r>
            <w:r>
              <w:rPr>
                <w:b w:val="1"/>
                <w:sz w:val="28"/>
              </w:rPr>
              <w:t>ов</w:t>
            </w:r>
            <w:r>
              <w:rPr>
                <w:b w:val="1"/>
                <w:sz w:val="28"/>
              </w:rPr>
              <w:t xml:space="preserve"> депутатов Государственной Думы Федерального Собрания Российской Федерации девятого созыва по одномандатному избирательному округу Ростовская область </w:t>
            </w:r>
            <w:r>
              <w:rPr>
                <w:b w:val="1"/>
                <w:sz w:val="28"/>
              </w:rPr>
              <w:t xml:space="preserve">– </w:t>
            </w:r>
            <w:r>
              <w:rPr>
                <w:rFonts w:ascii="Times New Roman" w:hAnsi="Times New Roman"/>
                <w:b w:val="1"/>
                <w:sz w:val="28"/>
              </w:rPr>
              <w:t>Неклиновский</w:t>
            </w:r>
            <w:r>
              <w:rPr>
                <w:rFonts w:ascii="Times New Roman" w:hAnsi="Times New Roman"/>
                <w:b w:val="1"/>
                <w:sz w:val="28"/>
              </w:rPr>
              <w:t xml:space="preserve"> </w:t>
            </w:r>
            <w:r>
              <w:rPr>
                <w:rFonts w:ascii="Times New Roman" w:hAnsi="Times New Roman"/>
                <w:b w:val="1"/>
                <w:sz w:val="28"/>
              </w:rPr>
              <w:t>одномандатный избирательный округ №154</w:t>
            </w:r>
          </w:p>
        </w:tc>
      </w:tr>
    </w:tbl>
    <w:p w14:paraId="10000000">
      <w:pPr>
        <w:widowControl w:val="1"/>
        <w:ind w:firstLine="851"/>
        <w:jc w:val="both"/>
        <w:rPr>
          <w:sz w:val="28"/>
        </w:rPr>
      </w:pPr>
    </w:p>
    <w:p w14:paraId="11000000">
      <w:pPr>
        <w:widowControl w:val="1"/>
        <w:ind w:firstLine="851"/>
        <w:jc w:val="both"/>
        <w:rPr>
          <w:color w:themeColor="text1" w:val="000000"/>
          <w:sz w:val="28"/>
        </w:rPr>
      </w:pPr>
      <w:r>
        <w:rPr>
          <w:color w:themeColor="text1" w:val="000000"/>
          <w:sz w:val="28"/>
          <w:highlight w:val="white"/>
        </w:rPr>
        <w:t xml:space="preserve">В соответствии со </w:t>
      </w:r>
      <w:r>
        <w:rPr>
          <w:color w:themeColor="text1" w:val="000000"/>
          <w:sz w:val="28"/>
        </w:rPr>
        <w:t>стать</w:t>
      </w:r>
      <w:r>
        <w:rPr>
          <w:color w:themeColor="text1" w:val="000000"/>
          <w:sz w:val="28"/>
        </w:rPr>
        <w:t>ей</w:t>
      </w:r>
      <w:r>
        <w:rPr>
          <w:color w:themeColor="text1" w:val="000000"/>
          <w:sz w:val="28"/>
        </w:rPr>
        <w:t xml:space="preserve"> </w:t>
      </w:r>
      <w:r>
        <w:rPr>
          <w:color w:themeColor="text1" w:val="000000"/>
          <w:sz w:val="28"/>
        </w:rPr>
        <w:t>6</w:t>
      </w:r>
      <w:r>
        <w:rPr>
          <w:color w:themeColor="text1" w:val="000000"/>
          <w:sz w:val="28"/>
        </w:rPr>
        <w:t>6 Федерального закона</w:t>
      </w:r>
      <w:r>
        <w:rPr>
          <w:color w:themeColor="text1" w:val="000000"/>
          <w:sz w:val="28"/>
        </w:rPr>
        <w:t xml:space="preserve"> </w:t>
      </w:r>
      <w:r>
        <w:rPr>
          <w:color w:themeColor="text1" w:val="000000"/>
          <w:sz w:val="28"/>
        </w:rPr>
        <w:t xml:space="preserve">от 22.02.2014 </w:t>
      </w:r>
      <w:r>
        <w:rPr>
          <w:color w:themeColor="text1" w:val="000000"/>
          <w:sz w:val="28"/>
        </w:rPr>
        <w:t xml:space="preserve">                  </w:t>
      </w:r>
      <w:r>
        <w:rPr>
          <w:color w:themeColor="text1" w:val="000000"/>
          <w:sz w:val="28"/>
        </w:rPr>
        <w:t>№ 20-ФЗ «О выборах депутатов Государственной Думы Федерального Собрания Российской Федерации»,</w:t>
      </w:r>
      <w:r>
        <w:rPr>
          <w:color w:themeColor="text1" w:val="000000"/>
          <w:sz w:val="28"/>
        </w:rPr>
        <w:t xml:space="preserve"> постановлением Избирательной комиссии Ростовской области </w:t>
      </w:r>
      <w:r>
        <w:rPr>
          <w:i w:val="1"/>
          <w:color w:themeColor="text1" w:val="000000"/>
          <w:sz w:val="28"/>
        </w:rPr>
        <w:t xml:space="preserve"> </w:t>
      </w:r>
      <w:r>
        <w:rPr>
          <w:color w:themeColor="text1" w:val="000000"/>
          <w:sz w:val="28"/>
        </w:rPr>
        <w:t>от 05.08.2026</w:t>
      </w:r>
      <w:r>
        <w:rPr>
          <w:color w:val="FF0000"/>
          <w:sz w:val="28"/>
        </w:rPr>
        <w:t xml:space="preserve"> </w:t>
      </w:r>
      <w:r>
        <w:rPr>
          <w:color w:themeColor="text1" w:val="000000"/>
          <w:sz w:val="28"/>
        </w:rPr>
        <w:t>№ 168-1</w:t>
      </w:r>
      <w:r>
        <w:rPr>
          <w:color w:val="FF0000"/>
          <w:sz w:val="28"/>
        </w:rPr>
        <w:t xml:space="preserve"> </w:t>
      </w:r>
      <w:r>
        <w:rPr>
          <w:color w:themeColor="text1" w:val="000000"/>
          <w:sz w:val="28"/>
        </w:rPr>
        <w:t>«</w:t>
      </w:r>
      <w:r>
        <w:rPr>
          <w:sz w:val="28"/>
        </w:rPr>
        <w:t>О территориальных избирательных комиссиях Ростовской области, осуществляющих проведение жеребьевок по распределению печатной площади, предоставляемой безвозмездно в региональных государственных периодических печатных изданиях, распространяемых в пределах территории муниципального района (городского округа) при проведении выборов депутатов Государственной Думы Федерального Собрания Российской Федерации девятого созыва</w:t>
      </w:r>
      <w:r>
        <w:rPr>
          <w:color w:themeColor="text1" w:val="000000"/>
          <w:sz w:val="28"/>
        </w:rPr>
        <w:t xml:space="preserve">» </w:t>
      </w:r>
      <w:r>
        <w:rPr>
          <w:color w:themeColor="text1" w:val="000000"/>
          <w:sz w:val="28"/>
        </w:rPr>
        <w:t>Территориальная и</w:t>
      </w:r>
      <w:r>
        <w:rPr>
          <w:color w:themeColor="text1" w:val="000000"/>
          <w:sz w:val="28"/>
        </w:rPr>
        <w:t xml:space="preserve">збирательная комиссия города Таганрога (восточная) Ростовской области </w:t>
      </w:r>
    </w:p>
    <w:p w14:paraId="12000000">
      <w:pPr>
        <w:widowControl w:val="1"/>
        <w:ind w:firstLine="0"/>
        <w:jc w:val="center"/>
        <w:rPr>
          <w:color w:themeColor="text1" w:val="000000"/>
          <w:sz w:val="28"/>
        </w:rPr>
      </w:pPr>
      <w:r>
        <w:rPr>
          <w:color w:themeColor="text1" w:val="000000"/>
          <w:sz w:val="28"/>
        </w:rPr>
        <w:t xml:space="preserve"> ПОСТАНОВЛЯЕТ:</w:t>
      </w:r>
    </w:p>
    <w:p w14:paraId="13000000">
      <w:pPr>
        <w:widowControl w:val="1"/>
        <w:ind w:firstLine="0"/>
        <w:jc w:val="center"/>
        <w:rPr>
          <w:color w:themeColor="text1" w:val="000000"/>
          <w:sz w:val="28"/>
        </w:rPr>
      </w:pPr>
    </w:p>
    <w:p w14:paraId="14000000">
      <w:pPr>
        <w:widowControl w:val="1"/>
        <w:numPr>
          <w:ilvl w:val="0"/>
          <w:numId w:val="1"/>
        </w:numPr>
        <w:spacing w:line="360" w:lineRule="auto"/>
        <w:ind w:firstLine="567" w:left="0"/>
        <w:jc w:val="both"/>
        <w:rPr>
          <w:sz w:val="28"/>
        </w:rPr>
      </w:pPr>
      <w:r>
        <w:rPr>
          <w:color w:themeColor="text1" w:val="000000"/>
          <w:sz w:val="28"/>
          <w:highlight w:val="white"/>
        </w:rPr>
        <w:t>Утвердить</w:t>
      </w:r>
      <w:r>
        <w:rPr>
          <w:b w:val="1"/>
          <w:color w:themeColor="text1" w:val="000000"/>
          <w:sz w:val="28"/>
          <w:highlight w:val="white"/>
        </w:rPr>
        <w:t xml:space="preserve"> </w:t>
      </w:r>
      <w:r>
        <w:rPr>
          <w:rStyle w:val="Style_4_ch"/>
          <w:b w:val="0"/>
          <w:color w:themeColor="text1" w:val="000000"/>
          <w:sz w:val="28"/>
          <w:highlight w:val="white"/>
        </w:rPr>
        <w:t>протокол</w:t>
      </w:r>
      <w:r>
        <w:rPr>
          <w:rStyle w:val="Style_4_ch"/>
          <w:b w:val="0"/>
          <w:color w:themeColor="text1" w:val="000000"/>
          <w:sz w:val="28"/>
          <w:highlight w:val="white"/>
        </w:rPr>
        <w:t>ы</w:t>
      </w:r>
      <w:r>
        <w:rPr>
          <w:rStyle w:val="Style_4_ch"/>
          <w:b w:val="0"/>
          <w:color w:themeColor="text1" w:val="000000"/>
          <w:sz w:val="28"/>
          <w:highlight w:val="white"/>
        </w:rPr>
        <w:t xml:space="preserve"> жеребьевки по распределению между политическими партиями, зарегистрированными кандидатами бесплатной печатной площади для публикации предвыборных агитационных материалов в региональных государственных периодических печатных изданиях </w:t>
      </w:r>
      <w:r>
        <w:rPr>
          <w:sz w:val="28"/>
        </w:rPr>
        <w:t xml:space="preserve">при </w:t>
      </w:r>
      <w:r>
        <w:rPr>
          <w:sz w:val="28"/>
        </w:rPr>
        <w:t>проведении</w:t>
      </w:r>
      <w:r>
        <w:rPr>
          <w:sz w:val="28"/>
        </w:rPr>
        <w:t xml:space="preserve"> выбор</w:t>
      </w:r>
      <w:r>
        <w:rPr>
          <w:sz w:val="28"/>
        </w:rPr>
        <w:t>ов</w:t>
      </w:r>
      <w:bookmarkStart w:id="1" w:name="_GoBack"/>
      <w:bookmarkEnd w:id="1"/>
      <w:r>
        <w:rPr>
          <w:sz w:val="28"/>
        </w:rPr>
        <w:t xml:space="preserve"> депутатов Государственной Думы Федерального Собрания Российской Федерации девятого созыва по одномандатному избирательному округу Ростовская область – Неклиновский одномандатный избирательный округ № 154</w:t>
      </w:r>
      <w:r>
        <w:rPr>
          <w:color w:themeColor="text1" w:val="000000"/>
          <w:sz w:val="28"/>
          <w:highlight w:val="white"/>
        </w:rPr>
        <w:t xml:space="preserve"> определенн</w:t>
      </w:r>
      <w:r>
        <w:rPr>
          <w:color w:themeColor="text1" w:val="000000"/>
          <w:sz w:val="28"/>
          <w:highlight w:val="white"/>
        </w:rPr>
        <w:t>ые</w:t>
      </w:r>
      <w:r>
        <w:rPr>
          <w:color w:themeColor="text1" w:val="000000"/>
          <w:sz w:val="28"/>
          <w:highlight w:val="white"/>
        </w:rPr>
        <w:t xml:space="preserve"> по результатам жеребьевки, </w:t>
      </w:r>
      <w:r>
        <w:rPr>
          <w:color w:themeColor="text1" w:val="000000"/>
          <w:sz w:val="28"/>
          <w:highlight w:val="white"/>
        </w:rPr>
        <w:t xml:space="preserve">проведенной </w:t>
      </w:r>
      <w:r>
        <w:rPr>
          <w:color w:themeColor="text1" w:val="000000"/>
          <w:sz w:val="28"/>
          <w:highlight w:val="white"/>
        </w:rPr>
        <w:t>19</w:t>
      </w:r>
      <w:r>
        <w:rPr>
          <w:color w:themeColor="text1" w:val="000000"/>
          <w:sz w:val="28"/>
          <w:highlight w:val="white"/>
        </w:rPr>
        <w:t xml:space="preserve"> августа 202</w:t>
      </w:r>
      <w:r>
        <w:rPr>
          <w:color w:themeColor="text1" w:val="000000"/>
          <w:sz w:val="28"/>
          <w:highlight w:val="white"/>
        </w:rPr>
        <w:t>6</w:t>
      </w:r>
      <w:r>
        <w:rPr>
          <w:color w:themeColor="text1" w:val="000000"/>
          <w:sz w:val="28"/>
          <w:highlight w:val="white"/>
        </w:rPr>
        <w:t xml:space="preserve"> года </w:t>
      </w:r>
      <w:r>
        <w:rPr>
          <w:color w:themeColor="text1" w:val="000000"/>
          <w:sz w:val="28"/>
          <w:highlight w:val="white"/>
        </w:rPr>
        <w:t>Территориальной и</w:t>
      </w:r>
      <w:r>
        <w:rPr>
          <w:color w:themeColor="text1" w:val="000000"/>
          <w:sz w:val="28"/>
          <w:highlight w:val="white"/>
        </w:rPr>
        <w:t xml:space="preserve">збирательной комиссией  города Таганрога (восточная) </w:t>
      </w:r>
      <w:r>
        <w:rPr>
          <w:color w:themeColor="text1" w:val="000000"/>
          <w:sz w:val="28"/>
          <w:highlight w:val="white"/>
        </w:rPr>
        <w:t>Ро</w:t>
      </w:r>
      <w:r>
        <w:rPr>
          <w:color w:themeColor="text1" w:val="000000"/>
          <w:sz w:val="28"/>
          <w:highlight w:val="white"/>
        </w:rPr>
        <w:t>стовской области</w:t>
      </w:r>
      <w:r>
        <w:rPr>
          <w:color w:themeColor="text1" w:val="000000"/>
          <w:sz w:val="28"/>
          <w:highlight w:val="white"/>
        </w:rPr>
        <w:t xml:space="preserve"> с участием представителей </w:t>
      </w:r>
      <w:r>
        <w:rPr>
          <w:color w:themeColor="text1" w:val="000000"/>
          <w:sz w:val="28"/>
          <w:highlight w:val="white"/>
        </w:rPr>
        <w:t>региональных</w:t>
      </w:r>
      <w:r>
        <w:rPr>
          <w:color w:themeColor="text1" w:val="000000"/>
          <w:sz w:val="28"/>
          <w:highlight w:val="white"/>
        </w:rPr>
        <w:t xml:space="preserve"> </w:t>
      </w:r>
      <w:r>
        <w:rPr>
          <w:rStyle w:val="Style_4_ch"/>
          <w:b w:val="0"/>
          <w:color w:themeColor="text1" w:val="000000"/>
          <w:sz w:val="28"/>
          <w:highlight w:val="white"/>
        </w:rPr>
        <w:t>государственных периодических</w:t>
      </w:r>
      <w:r>
        <w:rPr>
          <w:rStyle w:val="Style_4_ch"/>
          <w:b w:val="0"/>
          <w:color w:themeColor="text1" w:val="000000"/>
          <w:sz w:val="28"/>
          <w:highlight w:val="white"/>
        </w:rPr>
        <w:t xml:space="preserve"> печатных изданий</w:t>
      </w:r>
      <w:r>
        <w:rPr>
          <w:color w:themeColor="text1" w:val="000000"/>
          <w:sz w:val="28"/>
          <w:highlight w:val="white"/>
        </w:rPr>
        <w:t>,</w:t>
      </w:r>
      <w:r>
        <w:rPr>
          <w:color w:themeColor="text1" w:val="000000"/>
          <w:sz w:val="28"/>
          <w:highlight w:val="white"/>
        </w:rPr>
        <w:t xml:space="preserve"> уполномоченных представителей политических партий</w:t>
      </w:r>
      <w:r>
        <w:rPr>
          <w:color w:themeColor="text1" w:val="000000"/>
          <w:sz w:val="28"/>
          <w:highlight w:val="white"/>
        </w:rPr>
        <w:t>, зарегистрированных кандидатов</w:t>
      </w:r>
      <w:r>
        <w:rPr>
          <w:sz w:val="28"/>
        </w:rPr>
        <w:t xml:space="preserve"> </w:t>
      </w:r>
      <w:r>
        <w:rPr>
          <w:sz w:val="28"/>
        </w:rPr>
        <w:t>Приложения №1.</w:t>
      </w:r>
    </w:p>
    <w:p w14:paraId="15000000">
      <w:pPr>
        <w:widowControl w:val="1"/>
        <w:spacing w:after="60" w:line="360" w:lineRule="auto"/>
        <w:ind w:firstLine="567" w:left="0"/>
        <w:jc w:val="both"/>
        <w:rPr>
          <w:sz w:val="28"/>
        </w:rPr>
      </w:pPr>
      <w:r>
        <w:rPr>
          <w:sz w:val="28"/>
        </w:rPr>
        <w:t>2</w:t>
      </w:r>
      <w:r>
        <w:rPr>
          <w:sz w:val="28"/>
        </w:rPr>
        <w:t>. Разместить настоящее постановление в информационно-телек</w:t>
      </w:r>
      <w:r>
        <w:rPr>
          <w:sz w:val="28"/>
        </w:rPr>
        <w:t>оммуникационной сети «Интернет»</w:t>
      </w:r>
      <w:r>
        <w:rPr>
          <w:sz w:val="28"/>
        </w:rPr>
        <w:t xml:space="preserve"> и направить для опубликования в средства массовой информации.</w:t>
      </w:r>
    </w:p>
    <w:p w14:paraId="16000000">
      <w:pPr>
        <w:widowControl w:val="1"/>
        <w:spacing w:after="60" w:line="360" w:lineRule="auto"/>
        <w:ind w:firstLine="567" w:left="0"/>
        <w:jc w:val="both"/>
        <w:rPr>
          <w:sz w:val="28"/>
        </w:rPr>
      </w:pPr>
      <w:r>
        <w:rPr>
          <w:sz w:val="28"/>
        </w:rPr>
        <w:t>3.</w:t>
      </w:r>
      <w:r>
        <w:rPr>
          <w:sz w:val="28"/>
        </w:rPr>
        <w:t xml:space="preserve">Контроль за исполнением настоящего постановления возложить </w:t>
      </w:r>
      <w:r>
        <w:rPr>
          <w:sz w:val="28"/>
        </w:rPr>
        <w:br/>
      </w:r>
      <w:r>
        <w:rPr>
          <w:sz w:val="28"/>
        </w:rPr>
        <w:t xml:space="preserve">на </w:t>
      </w:r>
      <w:r>
        <w:rPr>
          <w:sz w:val="28"/>
        </w:rPr>
        <w:t xml:space="preserve">председателя </w:t>
      </w:r>
      <w:r>
        <w:rPr>
          <w:color w:themeColor="text1" w:val="000000"/>
          <w:sz w:val="28"/>
          <w:highlight w:val="white"/>
        </w:rPr>
        <w:t xml:space="preserve"> </w:t>
      </w:r>
      <w:r>
        <w:rPr>
          <w:color w:themeColor="text1" w:val="000000"/>
          <w:sz w:val="28"/>
          <w:highlight w:val="white"/>
        </w:rPr>
        <w:t>Территориальной и</w:t>
      </w:r>
      <w:r>
        <w:rPr>
          <w:color w:themeColor="text1" w:val="000000"/>
          <w:sz w:val="28"/>
          <w:highlight w:val="white"/>
        </w:rPr>
        <w:t xml:space="preserve">збирательной комиссии  города Таганрога (восточная) </w:t>
      </w:r>
      <w:r>
        <w:rPr>
          <w:color w:themeColor="text1" w:val="000000"/>
          <w:sz w:val="28"/>
          <w:highlight w:val="white"/>
        </w:rPr>
        <w:t>Ро</w:t>
      </w:r>
      <w:r>
        <w:rPr>
          <w:color w:themeColor="text1" w:val="000000"/>
          <w:sz w:val="28"/>
          <w:highlight w:val="white"/>
        </w:rPr>
        <w:t>стовской области В.Г. Ерасова.</w:t>
      </w:r>
    </w:p>
    <w:p w14:paraId="17000000">
      <w:pPr>
        <w:widowControl w:val="1"/>
        <w:spacing w:after="60" w:line="360" w:lineRule="auto"/>
        <w:ind/>
        <w:rPr>
          <w:sz w:val="28"/>
        </w:rPr>
      </w:pPr>
    </w:p>
    <w:p w14:paraId="18000000">
      <w:pPr>
        <w:widowControl w:val="1"/>
        <w:spacing w:after="60" w:line="360" w:lineRule="auto"/>
        <w:ind/>
        <w:rPr>
          <w:sz w:val="28"/>
        </w:rPr>
      </w:pPr>
    </w:p>
    <w:p w14:paraId="19000000">
      <w:pPr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>В.Г. Ерасов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 xml:space="preserve">  </w:t>
      </w:r>
    </w:p>
    <w:p w14:paraId="1A000000">
      <w:pPr>
        <w:rPr>
          <w:sz w:val="28"/>
        </w:rPr>
      </w:pPr>
    </w:p>
    <w:p w14:paraId="1B000000">
      <w:pPr>
        <w:rPr>
          <w:sz w:val="28"/>
        </w:rPr>
      </w:pPr>
    </w:p>
    <w:p w14:paraId="1C000000">
      <w:pPr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>Ю.В. Романенко</w:t>
      </w:r>
      <w:r>
        <w:rPr>
          <w:sz w:val="28"/>
        </w:rPr>
        <w:tab/>
      </w:r>
    </w:p>
    <w:p w14:paraId="1D000000">
      <w:pPr>
        <w:rPr>
          <w:sz w:val="28"/>
        </w:rPr>
      </w:pPr>
    </w:p>
    <w:sectPr>
      <w:headerReference r:id="rId1" w:type="default"/>
      <w:headerReference r:id="rId2" w:type="first"/>
      <w:footerReference r:id="rId3" w:type="first"/>
      <w:pgSz w:h="16838" w:orient="portrait" w:w="11906"/>
      <w:pgMar w:bottom="1134" w:footer="227" w:gutter="0" w:header="567" w:left="1701" w:right="850" w:top="1134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3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5000000">
    <w:pPr>
      <w:pStyle w:val="Style_2"/>
      <w:widowControl w:val="1"/>
      <w:ind/>
      <w:jc w:val="right"/>
    </w:pPr>
  </w:p>
</w:ftr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  <w:widowControl w:val="1"/>
      <w:ind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14:paraId="02000000">
    <w:pPr>
      <w:pStyle w:val="Style_1"/>
      <w:widowControl w:val="1"/>
      <w:ind/>
      <w:jc w:val="center"/>
      <w:rPr>
        <w:sz w:val="24"/>
      </w:rPr>
    </w:pPr>
  </w:p>
</w:hdr>
</file>

<file path=word/header2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3000000">
    <w:pPr>
      <w:pStyle w:val="Style_1"/>
      <w:widowControl w:val="1"/>
      <w:ind/>
      <w:jc w:val="center"/>
    </w:pPr>
  </w:p>
  <w:p w14:paraId="04000000">
    <w:pPr>
      <w:pStyle w:val="Style_1"/>
      <w:widowControl w:val="1"/>
      <w:tabs>
        <w:tab w:leader="none" w:pos="4153" w:val="clear"/>
        <w:tab w:leader="none" w:pos="6780" w:val="left"/>
        <w:tab w:leader="none" w:pos="8306" w:val="clear"/>
      </w:tabs>
      <w:ind/>
      <w:rPr>
        <w:i w:val="1"/>
        <w:sz w:val="28"/>
      </w:rPr>
    </w:pPr>
  </w:p>
</w:hdr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pPr>
        <w:widowControl w:val="1"/>
        <w:ind w:hanging="360" w:left="720"/>
      </w:pPr>
    </w:lvl>
    <w:lvl w:ilvl="1">
      <w:start w:val="1"/>
      <w:numFmt w:val="lowerLetter"/>
      <w:lvlText w:val="%2."/>
      <w:pPr>
        <w:widowControl w:val="1"/>
        <w:ind w:hanging="360" w:left="1440"/>
      </w:pPr>
    </w:lvl>
    <w:lvl w:ilvl="2">
      <w:start w:val="1"/>
      <w:numFmt w:val="lowerRoman"/>
      <w:lvlText w:val="%3."/>
      <w:lvlJc w:val="right"/>
      <w:pPr>
        <w:widowControl w:val="1"/>
        <w:ind w:hanging="360" w:left="2160"/>
      </w:pPr>
    </w:lvl>
    <w:lvl w:ilvl="3">
      <w:start w:val="1"/>
      <w:numFmt w:val="decimal"/>
      <w:lvlText w:val="%4."/>
      <w:pPr>
        <w:widowControl w:val="1"/>
        <w:ind w:hanging="360" w:left="2880"/>
      </w:pPr>
    </w:lvl>
    <w:lvl w:ilvl="4">
      <w:start w:val="1"/>
      <w:numFmt w:val="lowerLetter"/>
      <w:lvlText w:val="%5."/>
      <w:pPr>
        <w:widowControl w:val="1"/>
        <w:ind w:hanging="360" w:left="3600"/>
      </w:pPr>
    </w:lvl>
    <w:lvl w:ilvl="5">
      <w:start w:val="1"/>
      <w:numFmt w:val="lowerRoman"/>
      <w:lvlText w:val="%6."/>
      <w:lvlJc w:val="right"/>
      <w:pPr>
        <w:widowControl w:val="1"/>
        <w:ind w:hanging="360" w:left="4320"/>
      </w:pPr>
    </w:lvl>
    <w:lvl w:ilvl="6">
      <w:start w:val="1"/>
      <w:numFmt w:val="decimal"/>
      <w:lvlText w:val="%7."/>
      <w:pPr>
        <w:widowControl w:val="1"/>
        <w:ind w:hanging="360" w:left="5040"/>
      </w:pPr>
    </w:lvl>
    <w:lvl w:ilvl="7">
      <w:start w:val="1"/>
      <w:numFmt w:val="lowerLetter"/>
      <w:lvlText w:val="%8."/>
      <w:pPr>
        <w:widowControl w:val="1"/>
        <w:ind w:hanging="360" w:left="5760"/>
      </w:pPr>
    </w:lvl>
    <w:lvl w:ilvl="8">
      <w:start w:val="1"/>
      <w:numFmt w:val="lowerRoman"/>
      <w:lvlText w:val="%9."/>
      <w:lvlJc w:val="right"/>
      <w:pPr>
        <w:widowControl w:val="1"/>
        <w:ind w:hanging="36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widowControl w:val="1"/>
      <w:spacing w:after="0" w:line="240" w:lineRule="auto"/>
      <w:ind/>
    </w:pPr>
    <w:rPr>
      <w:rFonts w:ascii="Times New Roman" w:hAnsi="Times New Roman"/>
      <w:sz w:val="20"/>
    </w:rPr>
  </w:style>
  <w:style w:default="1" w:styleId="Style_5_ch" w:type="character">
    <w:name w:val="Normal"/>
    <w:link w:val="Style_5"/>
    <w:rPr>
      <w:rFonts w:ascii="Times New Roman" w:hAnsi="Times New Roman"/>
      <w:sz w:val="20"/>
    </w:rPr>
  </w:style>
  <w:style w:styleId="Style_6" w:type="paragraph">
    <w:name w:val="toc 2"/>
    <w:next w:val="Style_5"/>
    <w:link w:val="Style_6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6_ch" w:type="character">
    <w:name w:val="toc 2"/>
    <w:link w:val="Style_6"/>
    <w:rPr>
      <w:rFonts w:ascii="XO Thames" w:hAnsi="XO Thames"/>
      <w:sz w:val="28"/>
    </w:rPr>
  </w:style>
  <w:style w:styleId="Style_7" w:type="paragraph">
    <w:name w:val="toc 4"/>
    <w:next w:val="Style_5"/>
    <w:link w:val="Style_7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7_ch" w:type="character">
    <w:name w:val="toc 4"/>
    <w:link w:val="Style_7"/>
    <w:rPr>
      <w:rFonts w:ascii="XO Thames" w:hAnsi="XO Thames"/>
      <w:sz w:val="28"/>
    </w:rPr>
  </w:style>
  <w:style w:styleId="Style_8" w:type="paragraph">
    <w:name w:val="toc 6"/>
    <w:next w:val="Style_5"/>
    <w:link w:val="Style_8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toc 7"/>
    <w:next w:val="Style_5"/>
    <w:link w:val="Style_9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10" w:type="paragraph">
    <w:name w:val="Endnote"/>
    <w:link w:val="Style_10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5"/>
    <w:link w:val="Style_11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12" w:type="paragraph">
    <w:name w:val="Body Text 2"/>
    <w:basedOn w:val="Style_5"/>
    <w:link w:val="Style_12_ch"/>
    <w:pPr>
      <w:widowControl w:val="1"/>
      <w:spacing w:line="360" w:lineRule="auto"/>
      <w:ind/>
      <w:jc w:val="both"/>
    </w:pPr>
    <w:rPr>
      <w:rFonts w:ascii="Times New Roman CYR" w:hAnsi="Times New Roman CYR"/>
      <w:sz w:val="28"/>
    </w:rPr>
  </w:style>
  <w:style w:styleId="Style_12_ch" w:type="character">
    <w:name w:val="Body Text 2"/>
    <w:basedOn w:val="Style_5_ch"/>
    <w:link w:val="Style_12"/>
    <w:rPr>
      <w:rFonts w:ascii="Times New Roman CYR" w:hAnsi="Times New Roman CYR"/>
      <w:sz w:val="28"/>
    </w:rPr>
  </w:style>
  <w:style w:styleId="Style_13" w:type="paragraph">
    <w:name w:val="List Paragraph"/>
    <w:basedOn w:val="Style_5"/>
    <w:link w:val="Style_13_ch"/>
    <w:pPr>
      <w:widowControl w:val="1"/>
      <w:ind w:left="720"/>
      <w:contextualSpacing w:val="1"/>
    </w:pPr>
  </w:style>
  <w:style w:styleId="Style_13_ch" w:type="character">
    <w:name w:val="List Paragraph"/>
    <w:basedOn w:val="Style_5_ch"/>
    <w:link w:val="Style_13"/>
  </w:style>
  <w:style w:styleId="Style_14" w:type="paragraph">
    <w:name w:val="Body Text Indent"/>
    <w:basedOn w:val="Style_5"/>
    <w:link w:val="Style_14_ch"/>
    <w:pPr>
      <w:widowControl w:val="1"/>
      <w:spacing w:after="120"/>
      <w:ind w:left="283"/>
    </w:pPr>
  </w:style>
  <w:style w:styleId="Style_14_ch" w:type="character">
    <w:name w:val="Body Text Indent"/>
    <w:basedOn w:val="Style_5_ch"/>
    <w:link w:val="Style_14"/>
  </w:style>
  <w:style w:styleId="Style_15" w:type="paragraph">
    <w:name w:val="Balloon Text"/>
    <w:basedOn w:val="Style_5"/>
    <w:link w:val="Style_15_ch"/>
    <w:rPr>
      <w:rFonts w:ascii="Tahoma" w:hAnsi="Tahoma"/>
      <w:sz w:val="16"/>
    </w:rPr>
  </w:style>
  <w:style w:styleId="Style_15_ch" w:type="character">
    <w:name w:val="Balloon Text"/>
    <w:basedOn w:val="Style_5_ch"/>
    <w:link w:val="Style_15"/>
    <w:rPr>
      <w:rFonts w:ascii="Tahoma" w:hAnsi="Tahoma"/>
      <w:sz w:val="16"/>
    </w:rPr>
  </w:style>
  <w:style w:styleId="Style_16" w:type="paragraph">
    <w:name w:val="toc 3"/>
    <w:next w:val="Style_5"/>
    <w:link w:val="Style_16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16_ch" w:type="character">
    <w:name w:val="toc 3"/>
    <w:link w:val="Style_16"/>
    <w:rPr>
      <w:rFonts w:ascii="XO Thames" w:hAnsi="XO Thames"/>
      <w:sz w:val="28"/>
    </w:rPr>
  </w:style>
  <w:style w:styleId="Style_1" w:type="paragraph">
    <w:name w:val="header"/>
    <w:basedOn w:val="Style_5"/>
    <w:link w:val="Style_1_ch"/>
    <w:pPr>
      <w:widowControl w:val="1"/>
      <w:tabs>
        <w:tab w:leader="none" w:pos="4153" w:val="center"/>
        <w:tab w:leader="none" w:pos="8306" w:val="right"/>
      </w:tabs>
      <w:ind/>
    </w:pPr>
  </w:style>
  <w:style w:styleId="Style_1_ch" w:type="character">
    <w:name w:val="header"/>
    <w:basedOn w:val="Style_5_ch"/>
    <w:link w:val="Style_1"/>
  </w:style>
  <w:style w:styleId="Style_17" w:type="paragraph">
    <w:name w:val="heading 5"/>
    <w:next w:val="Style_5"/>
    <w:link w:val="Style_17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7_ch" w:type="character">
    <w:name w:val="heading 5"/>
    <w:link w:val="Style_17"/>
    <w:rPr>
      <w:rFonts w:ascii="XO Thames" w:hAnsi="XO Thames"/>
      <w:b w:val="1"/>
      <w:sz w:val="22"/>
    </w:rPr>
  </w:style>
  <w:style w:styleId="Style_18" w:type="paragraph">
    <w:name w:val="heading 1"/>
    <w:basedOn w:val="Style_5"/>
    <w:next w:val="Style_5"/>
    <w:link w:val="Style_18_ch"/>
    <w:uiPriority w:val="9"/>
    <w:qFormat/>
    <w:pPr>
      <w:keepNext w:val="1"/>
      <w:widowControl w:val="1"/>
      <w:ind/>
      <w:jc w:val="center"/>
      <w:outlineLvl w:val="0"/>
    </w:pPr>
    <w:rPr>
      <w:rFonts w:ascii="Times New Roman CYR" w:hAnsi="Times New Roman CYR"/>
      <w:b w:val="1"/>
      <w:sz w:val="28"/>
    </w:rPr>
  </w:style>
  <w:style w:styleId="Style_18_ch" w:type="character">
    <w:name w:val="heading 1"/>
    <w:basedOn w:val="Style_5_ch"/>
    <w:link w:val="Style_18"/>
    <w:rPr>
      <w:rFonts w:ascii="Times New Roman CYR" w:hAnsi="Times New Roman CYR"/>
      <w:b w:val="1"/>
      <w:sz w:val="28"/>
    </w:rPr>
  </w:style>
  <w:style w:styleId="Style_19" w:type="paragraph">
    <w:name w:val="Hyperlink"/>
    <w:link w:val="Style_19_ch"/>
    <w:rPr>
      <w:color w:val="0000FF"/>
      <w:u w:val="single"/>
    </w:rPr>
  </w:style>
  <w:style w:styleId="Style_19_ch" w:type="character">
    <w:name w:val="Hyperlink"/>
    <w:link w:val="Style_19"/>
    <w:rPr>
      <w:color w:val="0000FF"/>
      <w:u w:val="single"/>
    </w:rPr>
  </w:style>
  <w:style w:styleId="Style_20" w:type="paragraph">
    <w:name w:val="Footnote"/>
    <w:link w:val="Style_20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20_ch" w:type="character">
    <w:name w:val="Footnote"/>
    <w:link w:val="Style_20"/>
    <w:rPr>
      <w:rFonts w:ascii="XO Thames" w:hAnsi="XO Thames"/>
      <w:sz w:val="22"/>
    </w:rPr>
  </w:style>
  <w:style w:styleId="Style_21" w:type="paragraph">
    <w:name w:val="toc 1"/>
    <w:next w:val="Style_5"/>
    <w:link w:val="Style_21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21_ch" w:type="character">
    <w:name w:val="toc 1"/>
    <w:link w:val="Style_21"/>
    <w:rPr>
      <w:rFonts w:ascii="XO Thames" w:hAnsi="XO Thames"/>
      <w:b w:val="1"/>
      <w:sz w:val="28"/>
    </w:rPr>
  </w:style>
  <w:style w:styleId="Style_22" w:type="paragraph">
    <w:name w:val="Header and Footer"/>
    <w:link w:val="Style_22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22_ch" w:type="character">
    <w:name w:val="Header and Footer"/>
    <w:link w:val="Style_22"/>
    <w:rPr>
      <w:rFonts w:ascii="XO Thames" w:hAnsi="XO Thames"/>
      <w:sz w:val="28"/>
    </w:rPr>
  </w:style>
  <w:style w:styleId="Style_23" w:type="paragraph">
    <w:name w:val="Default Paragraph Font"/>
    <w:link w:val="Style_23_ch"/>
  </w:style>
  <w:style w:styleId="Style_23_ch" w:type="character">
    <w:name w:val="Default Paragraph Font"/>
    <w:link w:val="Style_23"/>
  </w:style>
  <w:style w:styleId="Style_2" w:type="paragraph">
    <w:name w:val="footer"/>
    <w:basedOn w:val="Style_5"/>
    <w:link w:val="Style_2_ch"/>
    <w:pPr>
      <w:widowControl w:val="1"/>
      <w:tabs>
        <w:tab w:leader="none" w:pos="4153" w:val="center"/>
        <w:tab w:leader="none" w:pos="8306" w:val="right"/>
      </w:tabs>
      <w:ind/>
    </w:pPr>
  </w:style>
  <w:style w:styleId="Style_2_ch" w:type="character">
    <w:name w:val="footer"/>
    <w:basedOn w:val="Style_5_ch"/>
    <w:link w:val="Style_2"/>
  </w:style>
  <w:style w:styleId="Style_4" w:type="paragraph">
    <w:name w:val="Strong"/>
    <w:basedOn w:val="Style_23"/>
    <w:link w:val="Style_4_ch"/>
    <w:rPr>
      <w:b w:val="1"/>
    </w:rPr>
  </w:style>
  <w:style w:styleId="Style_4_ch" w:type="character">
    <w:name w:val="Strong"/>
    <w:basedOn w:val="Style_23_ch"/>
    <w:link w:val="Style_4"/>
    <w:rPr>
      <w:b w:val="1"/>
    </w:rPr>
  </w:style>
  <w:style w:styleId="Style_24" w:type="paragraph">
    <w:name w:val="toc 9"/>
    <w:next w:val="Style_5"/>
    <w:link w:val="Style_24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24_ch" w:type="character">
    <w:name w:val="toc 9"/>
    <w:link w:val="Style_24"/>
    <w:rPr>
      <w:rFonts w:ascii="XO Thames" w:hAnsi="XO Thames"/>
      <w:sz w:val="28"/>
    </w:rPr>
  </w:style>
  <w:style w:styleId="Style_25" w:type="paragraph">
    <w:name w:val="toc 8"/>
    <w:next w:val="Style_5"/>
    <w:link w:val="Style_25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25_ch" w:type="character">
    <w:name w:val="toc 8"/>
    <w:link w:val="Style_25"/>
    <w:rPr>
      <w:rFonts w:ascii="XO Thames" w:hAnsi="XO Thames"/>
      <w:sz w:val="28"/>
    </w:rPr>
  </w:style>
  <w:style w:styleId="Style_26" w:type="paragraph">
    <w:name w:val="toc 5"/>
    <w:next w:val="Style_5"/>
    <w:link w:val="Style_26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26_ch" w:type="character">
    <w:name w:val="toc 5"/>
    <w:link w:val="Style_26"/>
    <w:rPr>
      <w:rFonts w:ascii="XO Thames" w:hAnsi="XO Thames"/>
      <w:sz w:val="28"/>
    </w:rPr>
  </w:style>
  <w:style w:styleId="Style_27" w:type="paragraph">
    <w:name w:val="Subtitle"/>
    <w:next w:val="Style_5"/>
    <w:link w:val="Style_27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27_ch" w:type="character">
    <w:name w:val="Subtitle"/>
    <w:link w:val="Style_27"/>
    <w:rPr>
      <w:rFonts w:ascii="XO Thames" w:hAnsi="XO Thames"/>
      <w:i w:val="1"/>
      <w:sz w:val="24"/>
    </w:rPr>
  </w:style>
  <w:style w:styleId="Style_28" w:type="paragraph">
    <w:name w:val="ConsPlusTitle"/>
    <w:link w:val="Style_28_ch"/>
    <w:pPr>
      <w:widowControl w:val="0"/>
      <w:spacing w:after="0" w:line="240" w:lineRule="auto"/>
      <w:ind/>
    </w:pPr>
    <w:rPr>
      <w:rFonts w:ascii="Calibri" w:hAnsi="Calibri"/>
      <w:b w:val="1"/>
    </w:rPr>
  </w:style>
  <w:style w:styleId="Style_28_ch" w:type="character">
    <w:name w:val="ConsPlusTitle"/>
    <w:link w:val="Style_28"/>
    <w:rPr>
      <w:rFonts w:ascii="Calibri" w:hAnsi="Calibri"/>
      <w:b w:val="1"/>
    </w:rPr>
  </w:style>
  <w:style w:styleId="Style_29" w:type="paragraph">
    <w:name w:val="Title"/>
    <w:next w:val="Style_5"/>
    <w:link w:val="Style_29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9_ch" w:type="character">
    <w:name w:val="Title"/>
    <w:link w:val="Style_29"/>
    <w:rPr>
      <w:rFonts w:ascii="XO Thames" w:hAnsi="XO Thames"/>
      <w:b w:val="1"/>
      <w:caps w:val="1"/>
      <w:sz w:val="40"/>
    </w:rPr>
  </w:style>
  <w:style w:styleId="Style_30" w:type="paragraph">
    <w:name w:val="heading 4"/>
    <w:next w:val="Style_5"/>
    <w:link w:val="Style_30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0_ch" w:type="character">
    <w:name w:val="heading 4"/>
    <w:link w:val="Style_30"/>
    <w:rPr>
      <w:rFonts w:ascii="XO Thames" w:hAnsi="XO Thames"/>
      <w:b w:val="1"/>
      <w:sz w:val="24"/>
    </w:rPr>
  </w:style>
  <w:style w:styleId="Style_31" w:type="paragraph">
    <w:name w:val="heading 2"/>
    <w:next w:val="Style_5"/>
    <w:link w:val="Style_31_ch"/>
    <w:uiPriority w:val="9"/>
    <w:qFormat/>
    <w:pPr>
      <w:widowControl w:val="1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1_ch" w:type="character">
    <w:name w:val="heading 2"/>
    <w:link w:val="Style_31"/>
    <w:rPr>
      <w:rFonts w:ascii="XO Thames" w:hAnsi="XO Thames"/>
      <w:b w:val="1"/>
      <w:sz w:val="28"/>
    </w:rPr>
  </w:style>
  <w:style w:styleId="Style_32" w:type="paragraph">
    <w:name w:val="Body Text"/>
    <w:basedOn w:val="Style_5"/>
    <w:link w:val="Style_32_ch"/>
    <w:pPr>
      <w:widowControl w:val="1"/>
      <w:ind/>
      <w:jc w:val="center"/>
    </w:pPr>
    <w:rPr>
      <w:rFonts w:ascii="Times New Roman CYR" w:hAnsi="Times New Roman CYR"/>
      <w:b w:val="1"/>
      <w:sz w:val="28"/>
    </w:rPr>
  </w:style>
  <w:style w:styleId="Style_32_ch" w:type="character">
    <w:name w:val="Body Text"/>
    <w:basedOn w:val="Style_5_ch"/>
    <w:link w:val="Style_32"/>
    <w:rPr>
      <w:rFonts w:ascii="Times New Roman CYR" w:hAnsi="Times New Roman CYR"/>
      <w:b w:val="1"/>
      <w:sz w:val="28"/>
    </w:rPr>
  </w:style>
  <w:style w:styleId="Style_33" w:type="table">
    <w:name w:val="Table Grid"/>
    <w:basedOn w:val="Style_3"/>
    <w:pPr>
      <w:widowControl w:val="1"/>
      <w:spacing w:after="0" w:line="240" w:lineRule="auto"/>
      <w:ind/>
    </w:pPr>
    <w:rPr>
      <w:rFonts w:ascii="Times New Roman" w:hAnsi="Times New Roman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ettings.xml" Type="http://schemas.openxmlformats.org/officeDocument/2006/relationships/settings"/>
  <Relationship Id="rId1" Target="header1.xml" Type="http://schemas.openxmlformats.org/officeDocument/2006/relationships/header"/>
  <Relationship Id="rId10" Target="theme/theme1.xml" Type="http://schemas.openxmlformats.org/officeDocument/2006/relationships/theme"/>
  <Relationship Id="rId2" Target="header2.xml" Type="http://schemas.openxmlformats.org/officeDocument/2006/relationships/header"/>
  <Relationship Id="rId3" Target="footer3.xml" Type="http://schemas.openxmlformats.org/officeDocument/2006/relationships/footer"/>
  <Relationship Id="rId8" Target="stylesWithEffects.xml" Type="http://schemas.microsoft.com/office/2007/relationships/stylesWithEffects"/>
  <Relationship Id="rId4" Target="media/1.png" Type="http://schemas.openxmlformats.org/officeDocument/2006/relationships/image"/>
  <Relationship Id="rId11" Target="numbering.xml" Type="http://schemas.openxmlformats.org/officeDocument/2006/relationships/numbering"/>
  <Relationship Id="rId9" Target="webSettings.xml" Type="http://schemas.openxmlformats.org/officeDocument/2006/relationships/webSettings"/>
  <Relationship Id="rId7" Target="styles.xml" Type="http://schemas.openxmlformats.org/officeDocument/2006/relationships/styles"/>
  <Relationship Id="rId5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2026-08-18T14:28:13Z</dcterms:created>
  <dcterms:modified xsi:type="dcterms:W3CDTF">2026-08-19T12:40:49Z</dcterms:modified>
</cp:coreProperties>
</file>