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1"/>
        <w:spacing w:after="0" w:line="240" w:lineRule="auto"/>
        <w:ind w:firstLine="0" w:left="0"/>
        <w:jc w:val="center"/>
        <w:rPr>
          <w:rFonts w:ascii="Times New Roman" w:hAnsi="Times New Roman"/>
          <w:sz w:val="28"/>
        </w:rPr>
      </w:pPr>
      <w:r>
        <w:rPr>
          <w:rFonts w:ascii="Times New Roman" w:hAnsi="Times New Roman"/>
          <w:sz w:val="28"/>
        </w:rPr>
        <w:drawing>
          <wp:inline>
            <wp:extent cx="755650" cy="779145"/>
            <wp:effectExtent b="0" l="0" r="0" t="0"/>
            <wp:docPr hidden="false" id="2" name="Picture 2"/>
            <a:graphic>
              <a:graphicData uri="http://schemas.openxmlformats.org/drawingml/2006/picture">
                <pic:pic>
                  <pic:nvPicPr>
                    <pic:cNvPr hidden="false" id="1" name="Picture 1"/>
                    <pic:cNvPicPr preferRelativeResize="true"/>
                  </pic:nvPicPr>
                  <pic:blipFill>
                    <a:blip r:embed="rId1"/>
                    <a:srcRect b="0" l="0" r="0" t="0"/>
                    <a:stretch/>
                  </pic:blipFill>
                  <pic:spPr>
                    <a:xfrm flipH="false" flipV="false" rot="0">
                      <a:ext cx="755650" cy="779145"/>
                    </a:xfrm>
                    <a:prstGeom prst="rect"/>
                  </pic:spPr>
                </pic:pic>
              </a:graphicData>
            </a:graphic>
          </wp:inline>
        </w:drawing>
      </w:r>
    </w:p>
    <w:p w14:paraId="02000000">
      <w:pPr>
        <w:widowControl w:val="1"/>
        <w:spacing w:after="0" w:line="240" w:lineRule="auto"/>
        <w:ind w:firstLine="0" w:left="0"/>
        <w:jc w:val="center"/>
        <w:rPr>
          <w:rFonts w:ascii="Times New Roman" w:hAnsi="Times New Roman"/>
          <w:b w:val="1"/>
          <w:sz w:val="28"/>
        </w:rPr>
      </w:pPr>
      <w:r>
        <w:rPr>
          <w:rFonts w:ascii="Times New Roman" w:hAnsi="Times New Roman"/>
          <w:b w:val="1"/>
          <w:sz w:val="28"/>
        </w:rPr>
        <w:t>ТЕРРИТОРИАЛЬНАЯ ИЗБИРАТЕЛЬНАЯ КОМИССИЯ</w:t>
      </w:r>
    </w:p>
    <w:p w14:paraId="03000000">
      <w:pPr>
        <w:widowControl w:val="1"/>
        <w:spacing w:after="0" w:line="240" w:lineRule="auto"/>
        <w:ind w:firstLine="0" w:left="0"/>
        <w:jc w:val="center"/>
        <w:rPr>
          <w:rFonts w:ascii="Times New Roman" w:hAnsi="Times New Roman"/>
          <w:b w:val="1"/>
          <w:sz w:val="28"/>
        </w:rPr>
      </w:pPr>
      <w:r>
        <w:rPr>
          <w:rFonts w:ascii="Times New Roman" w:hAnsi="Times New Roman"/>
          <w:b w:val="1"/>
          <w:sz w:val="28"/>
        </w:rPr>
        <w:t>ГОРОДА</w:t>
      </w:r>
      <w:r>
        <w:rPr>
          <w:rFonts w:ascii="Times New Roman" w:hAnsi="Times New Roman"/>
          <w:b w:val="1"/>
          <w:sz w:val="28"/>
        </w:rPr>
        <w:t xml:space="preserve"> </w:t>
      </w:r>
      <w:r>
        <w:rPr>
          <w:rFonts w:ascii="Times New Roman" w:hAnsi="Times New Roman"/>
          <w:b w:val="1"/>
          <w:sz w:val="28"/>
        </w:rPr>
        <w:t>ТАГАНРОГА (</w:t>
      </w:r>
      <w:r>
        <w:rPr>
          <w:rFonts w:ascii="Times New Roman" w:hAnsi="Times New Roman"/>
          <w:b w:val="1"/>
          <w:sz w:val="28"/>
        </w:rPr>
        <w:t>ВОСТОЧНАЯ</w:t>
      </w:r>
      <w:r>
        <w:rPr>
          <w:rFonts w:ascii="Times New Roman" w:hAnsi="Times New Roman"/>
          <w:b w:val="1"/>
          <w:sz w:val="28"/>
        </w:rPr>
        <w:t>) РОСТОВСКОЙ ОБЛАСТИ</w:t>
      </w:r>
    </w:p>
    <w:p w14:paraId="04000000">
      <w:pPr>
        <w:widowControl w:val="1"/>
        <w:spacing w:after="0" w:line="240" w:lineRule="auto"/>
        <w:ind w:firstLine="0" w:left="0"/>
        <w:jc w:val="center"/>
        <w:rPr>
          <w:rFonts w:ascii="Times New Roman" w:hAnsi="Times New Roman"/>
          <w:b w:val="1"/>
          <w:sz w:val="28"/>
        </w:rPr>
      </w:pPr>
    </w:p>
    <w:p w14:paraId="05000000">
      <w:pPr>
        <w:widowControl w:val="1"/>
        <w:spacing w:after="0" w:line="240" w:lineRule="auto"/>
        <w:ind w:firstLine="0" w:left="0"/>
        <w:jc w:val="center"/>
        <w:rPr>
          <w:rFonts w:ascii="Times New Roman" w:hAnsi="Times New Roman"/>
          <w:b w:val="1"/>
          <w:sz w:val="28"/>
        </w:rPr>
      </w:pPr>
      <w:r>
        <w:rPr>
          <w:rFonts w:ascii="Times New Roman" w:hAnsi="Times New Roman"/>
          <w:b w:val="1"/>
          <w:sz w:val="28"/>
        </w:rPr>
        <w:t>ПОСТАНОВЛЕНИЕ</w:t>
      </w:r>
    </w:p>
    <w:p w14:paraId="06000000">
      <w:pPr>
        <w:widowControl w:val="1"/>
        <w:ind w:firstLine="0" w:left="0"/>
        <w:jc w:val="center"/>
        <w:outlineLvl w:val="0"/>
        <w:rPr>
          <w:rFonts w:ascii="Times New Roman" w:hAnsi="Times New Roman"/>
          <w:b w:val="1"/>
          <w:sz w:val="28"/>
        </w:rPr>
      </w:pPr>
    </w:p>
    <w:p w14:paraId="07000000">
      <w:pPr>
        <w:widowControl w:val="1"/>
        <w:ind w:firstLine="0" w:left="0"/>
        <w:jc w:val="center"/>
        <w:rPr>
          <w:rFonts w:ascii="Times New Roman" w:hAnsi="Times New Roman"/>
          <w:color w:themeColor="text1" w:val="000000"/>
          <w:sz w:val="28"/>
        </w:rPr>
      </w:pPr>
      <w:r>
        <w:rPr>
          <w:rFonts w:ascii="Times New Roman" w:hAnsi="Times New Roman"/>
          <w:color w:themeColor="text1" w:val="000000"/>
          <w:sz w:val="28"/>
        </w:rPr>
        <w:t>01 июля</w:t>
      </w:r>
      <w:r>
        <w:rPr>
          <w:rFonts w:ascii="Times New Roman" w:hAnsi="Times New Roman"/>
          <w:color w:themeColor="text1" w:val="000000"/>
          <w:sz w:val="28"/>
        </w:rPr>
        <w:t xml:space="preserve"> </w:t>
      </w:r>
      <w:r>
        <w:rPr>
          <w:rFonts w:ascii="Times New Roman" w:hAnsi="Times New Roman"/>
          <w:color w:themeColor="text1" w:val="000000"/>
          <w:sz w:val="28"/>
        </w:rPr>
        <w:t>2026</w:t>
      </w:r>
      <w:r>
        <w:rPr>
          <w:rFonts w:ascii="Times New Roman" w:hAnsi="Times New Roman"/>
          <w:color w:themeColor="text1" w:val="000000"/>
          <w:sz w:val="28"/>
        </w:rPr>
        <w:t xml:space="preserve"> г.</w:t>
      </w:r>
      <w:r>
        <w:rPr>
          <w:rFonts w:ascii="Times New Roman" w:hAnsi="Times New Roman"/>
          <w:color w:themeColor="text1" w:val="000000"/>
          <w:sz w:val="28"/>
        </w:rPr>
        <w:tab/>
      </w:r>
      <w:r>
        <w:rPr>
          <w:rFonts w:ascii="Times New Roman" w:hAnsi="Times New Roman"/>
          <w:color w:themeColor="text1" w:val="000000"/>
          <w:sz w:val="28"/>
        </w:rPr>
        <w:tab/>
      </w:r>
      <w:r>
        <w:rPr>
          <w:rFonts w:ascii="Times New Roman" w:hAnsi="Times New Roman"/>
          <w:color w:themeColor="text1" w:val="000000"/>
          <w:sz w:val="28"/>
        </w:rPr>
        <w:tab/>
      </w:r>
      <w:r>
        <w:rPr>
          <w:rFonts w:ascii="Times New Roman" w:hAnsi="Times New Roman"/>
          <w:color w:themeColor="text1" w:val="000000"/>
          <w:sz w:val="28"/>
        </w:rPr>
        <w:tab/>
      </w:r>
      <w:r>
        <w:rPr>
          <w:rFonts w:ascii="Times New Roman" w:hAnsi="Times New Roman"/>
          <w:color w:themeColor="text1" w:val="000000"/>
          <w:sz w:val="28"/>
        </w:rPr>
        <w:tab/>
      </w:r>
      <w:r>
        <w:rPr>
          <w:rFonts w:ascii="Times New Roman" w:hAnsi="Times New Roman"/>
          <w:color w:themeColor="text1" w:val="000000"/>
          <w:sz w:val="28"/>
        </w:rPr>
        <w:tab/>
      </w:r>
      <w:r>
        <w:rPr>
          <w:rFonts w:ascii="Times New Roman" w:hAnsi="Times New Roman"/>
          <w:color w:themeColor="text1" w:val="000000"/>
          <w:sz w:val="28"/>
        </w:rPr>
        <w:tab/>
      </w:r>
      <w:r>
        <w:rPr>
          <w:rFonts w:ascii="Times New Roman" w:hAnsi="Times New Roman"/>
          <w:color w:themeColor="text1" w:val="000000"/>
          <w:sz w:val="28"/>
        </w:rPr>
        <w:tab/>
      </w:r>
      <w:r>
        <w:rPr>
          <w:rFonts w:ascii="Times New Roman" w:hAnsi="Times New Roman"/>
          <w:color w:themeColor="text1" w:val="000000"/>
          <w:sz w:val="28"/>
        </w:rPr>
        <w:t xml:space="preserve">     </w:t>
      </w:r>
      <w:r>
        <w:rPr>
          <w:rFonts w:ascii="Times New Roman" w:hAnsi="Times New Roman"/>
          <w:color w:themeColor="text1" w:val="000000"/>
          <w:sz w:val="28"/>
        </w:rPr>
        <w:t xml:space="preserve">       № 4</w:t>
      </w:r>
      <w:r>
        <w:rPr>
          <w:rFonts w:ascii="Times New Roman" w:hAnsi="Times New Roman"/>
          <w:color w:themeColor="text1" w:val="000000"/>
          <w:sz w:val="28"/>
        </w:rPr>
        <w:t>-11</w:t>
      </w:r>
    </w:p>
    <w:p w14:paraId="08000000">
      <w:pPr>
        <w:widowControl w:val="1"/>
        <w:spacing w:after="0" w:line="240" w:lineRule="auto"/>
        <w:ind w:right="175"/>
        <w:jc w:val="center"/>
        <w:rPr>
          <w:sz w:val="28"/>
        </w:rPr>
      </w:pPr>
      <w:r>
        <w:rPr>
          <w:rFonts w:ascii="Times New Roman" w:hAnsi="Times New Roman"/>
          <w:color w:themeColor="text1" w:val="000000"/>
          <w:sz w:val="28"/>
        </w:rPr>
        <w:t>г. Таганрог</w:t>
      </w:r>
    </w:p>
    <w:p w14:paraId="09000000">
      <w:pPr>
        <w:widowControl w:val="1"/>
        <w:spacing w:after="0" w:line="240" w:lineRule="auto"/>
        <w:ind w:right="175"/>
        <w:jc w:val="center"/>
        <w:rPr>
          <w:rFonts w:ascii="Times New Roman" w:hAnsi="Times New Roman"/>
          <w:color w:themeColor="text1" w:val="000000"/>
          <w:sz w:val="28"/>
        </w:rPr>
      </w:pPr>
    </w:p>
    <w:tbl>
      <w:tblPr>
        <w:tblStyle w:val="Style_1"/>
        <w:tblW w:type="auto" w:w="0"/>
        <w:tblLayout w:type="fixed"/>
      </w:tblPr>
      <w:tblGrid>
        <w:gridCol w:w="1809"/>
        <w:gridCol w:w="6663"/>
        <w:gridCol w:w="992"/>
      </w:tblGrid>
      <w:tr>
        <w:tc>
          <w:tcPr>
            <w:tcW w:type="dxa" w:w="1809"/>
          </w:tcPr>
          <w:p w14:paraId="0A000000">
            <w:pPr>
              <w:rPr>
                <w:sz w:val="28"/>
              </w:rPr>
            </w:pPr>
          </w:p>
        </w:tc>
        <w:tc>
          <w:tcPr>
            <w:tcW w:type="dxa" w:w="6663"/>
          </w:tcPr>
          <w:p w14:paraId="0B000000">
            <w:pPr>
              <w:pStyle w:val="Style_2"/>
              <w:widowControl w:val="1"/>
              <w:ind/>
              <w:jc w:val="both"/>
              <w:rPr>
                <w:b w:val="1"/>
                <w:sz w:val="28"/>
              </w:rPr>
            </w:pPr>
            <w:r>
              <w:rPr>
                <w:b w:val="1"/>
                <w:sz w:val="28"/>
              </w:rPr>
              <w:t xml:space="preserve">О </w:t>
            </w:r>
            <w:r>
              <w:rPr>
                <w:b w:val="1"/>
                <w:sz w:val="28"/>
              </w:rPr>
              <w:t xml:space="preserve">Рабочей группе </w:t>
            </w:r>
            <w:r>
              <w:rPr>
                <w:b w:val="1"/>
                <w:sz w:val="28"/>
              </w:rPr>
              <w:t xml:space="preserve">при Территориальной избирательной комиссии </w:t>
            </w:r>
            <w:r>
              <w:rPr>
                <w:rFonts w:ascii="Times New Roman" w:hAnsi="Times New Roman"/>
                <w:b w:val="1"/>
                <w:color w:themeColor="text1" w:val="000000"/>
                <w:sz w:val="28"/>
              </w:rPr>
              <w:t>города Таганрога (восточная) Ростовской области</w:t>
            </w:r>
            <w:r>
              <w:rPr>
                <w:b w:val="1"/>
                <w:sz w:val="28"/>
              </w:rPr>
              <w:t xml:space="preserve"> по контролю </w:t>
            </w:r>
            <w:r>
              <w:rPr>
                <w:b w:val="1"/>
                <w:sz w:val="28"/>
              </w:rPr>
              <w:br/>
            </w:r>
            <w:r>
              <w:rPr>
                <w:b w:val="1"/>
                <w:sz w:val="28"/>
              </w:rPr>
              <w:t>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p>
          <w:p w14:paraId="0C000000">
            <w:pPr>
              <w:pStyle w:val="Style_2"/>
              <w:widowControl w:val="1"/>
              <w:ind/>
              <w:jc w:val="both"/>
              <w:rPr>
                <w:b w:val="1"/>
                <w:sz w:val="28"/>
              </w:rPr>
            </w:pPr>
          </w:p>
        </w:tc>
        <w:tc>
          <w:tcPr>
            <w:tcW w:type="dxa" w:w="992"/>
          </w:tcPr>
          <w:p w14:paraId="0D000000">
            <w:pPr>
              <w:widowControl w:val="1"/>
              <w:tabs>
                <w:tab w:leader="none" w:pos="6750" w:val="left"/>
              </w:tabs>
              <w:ind/>
              <w:jc w:val="right"/>
              <w:rPr>
                <w:sz w:val="28"/>
              </w:rPr>
            </w:pPr>
          </w:p>
        </w:tc>
      </w:tr>
    </w:tbl>
    <w:p w14:paraId="0E000000">
      <w:pPr>
        <w:widowControl w:val="1"/>
        <w:ind w:firstLine="709"/>
        <w:jc w:val="both"/>
        <w:rPr>
          <w:sz w:val="28"/>
        </w:rPr>
      </w:pPr>
      <w:r>
        <w:rPr>
          <w:sz w:val="28"/>
        </w:rPr>
        <w:t xml:space="preserve">На основании пункта 9 </w:t>
      </w:r>
      <w:r>
        <w:rPr>
          <w:sz w:val="28"/>
        </w:rPr>
        <w:t xml:space="preserve">статьи 26 Федерального закона </w:t>
      </w:r>
      <w:r>
        <w:rPr>
          <w:sz w:val="28"/>
        </w:rPr>
        <w:br/>
      </w:r>
      <w:r>
        <w:rPr>
          <w:sz w:val="28"/>
        </w:rPr>
        <w:t>от 12.06.2002 № 67-ФЗ</w:t>
      </w:r>
      <w:r>
        <w:rPr>
          <w:sz w:val="28"/>
        </w:rPr>
        <w:t xml:space="preserve"> «Об основных гарантиях </w:t>
      </w:r>
      <w:r>
        <w:rPr>
          <w:sz w:val="28"/>
        </w:rPr>
        <w:t xml:space="preserve">избирательных прав и права </w:t>
      </w:r>
      <w:r>
        <w:rPr>
          <w:sz w:val="28"/>
        </w:rPr>
        <w:br/>
      </w:r>
      <w:r>
        <w:rPr>
          <w:sz w:val="28"/>
        </w:rPr>
        <w:t xml:space="preserve">на участие в референдуме граждан Российской Федерации», </w:t>
      </w:r>
      <w:r>
        <w:rPr>
          <w:sz w:val="28"/>
        </w:rPr>
        <w:t>пункта 1</w:t>
      </w:r>
      <w:r>
        <w:rPr>
          <w:sz w:val="28"/>
        </w:rPr>
        <w:t xml:space="preserve"> статьи </w:t>
      </w:r>
      <w:r>
        <w:rPr>
          <w:sz w:val="28"/>
        </w:rPr>
        <w:t>30</w:t>
      </w:r>
      <w:r>
        <w:rPr>
          <w:sz w:val="28"/>
        </w:rPr>
        <w:t xml:space="preserve"> Федерального закона </w:t>
      </w:r>
      <w:r>
        <w:rPr>
          <w:sz w:val="28"/>
        </w:rPr>
        <w:t>от 22.02.2014 № 20-ФЗ «О выборах депутатов Государственной Думы Федерального Собрания Российской Федерации»</w:t>
      </w:r>
      <w:r>
        <w:rPr>
          <w:sz w:val="28"/>
        </w:rPr>
        <w:t xml:space="preserve">, </w:t>
      </w:r>
      <w:r>
        <w:rPr>
          <w:sz w:val="28"/>
        </w:rPr>
        <w:br/>
      </w:r>
      <w:r>
        <w:rPr>
          <w:sz w:val="28"/>
        </w:rPr>
        <w:t>в соответствии</w:t>
      </w:r>
      <w:r>
        <w:rPr>
          <w:sz w:val="28"/>
        </w:rPr>
        <w:t xml:space="preserve"> с постановлением Избирательной комиссии Ростовской области от </w:t>
      </w:r>
      <w:r>
        <w:rPr>
          <w:sz w:val="28"/>
        </w:rPr>
        <w:t>26</w:t>
      </w:r>
      <w:r>
        <w:rPr>
          <w:sz w:val="28"/>
        </w:rPr>
        <w:t>.</w:t>
      </w:r>
      <w:r>
        <w:rPr>
          <w:sz w:val="28"/>
        </w:rPr>
        <w:t>06</w:t>
      </w:r>
      <w:r>
        <w:rPr>
          <w:sz w:val="28"/>
        </w:rPr>
        <w:t>.20</w:t>
      </w:r>
      <w:r>
        <w:rPr>
          <w:sz w:val="28"/>
        </w:rPr>
        <w:t>26</w:t>
      </w:r>
      <w:r>
        <w:rPr>
          <w:sz w:val="28"/>
        </w:rPr>
        <w:t xml:space="preserve"> № 15</w:t>
      </w:r>
      <w:r>
        <w:rPr>
          <w:sz w:val="28"/>
        </w:rPr>
        <w:t>3</w:t>
      </w:r>
      <w:r>
        <w:rPr>
          <w:sz w:val="28"/>
        </w:rPr>
        <w:t>-</w:t>
      </w:r>
      <w:r>
        <w:rPr>
          <w:sz w:val="28"/>
        </w:rPr>
        <w:t>1</w:t>
      </w:r>
      <w:r>
        <w:rPr>
          <w:sz w:val="28"/>
        </w:rPr>
        <w:t>2 «</w:t>
      </w:r>
      <w:r>
        <w:rPr>
          <w:sz w:val="28"/>
        </w:rPr>
        <w:t>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r>
        <w:rPr>
          <w:sz w:val="28"/>
        </w:rPr>
        <w:t xml:space="preserve">», </w:t>
      </w:r>
      <w:r>
        <w:rPr>
          <w:sz w:val="28"/>
        </w:rPr>
        <w:t xml:space="preserve">в целях осуществления контроля </w:t>
      </w:r>
      <w:r>
        <w:rPr>
          <w:sz w:val="28"/>
        </w:rPr>
        <w:br/>
      </w:r>
      <w:r>
        <w:rPr>
          <w:sz w:val="28"/>
        </w:rPr>
        <w:t>за соблюдением порядка</w:t>
      </w:r>
      <w:r>
        <w:rPr>
          <w:sz w:val="28"/>
        </w:rPr>
        <w:t xml:space="preserve"> и правил</w:t>
      </w:r>
      <w:r>
        <w:rPr>
          <w:sz w:val="28"/>
        </w:rPr>
        <w:t xml:space="preserve"> проведения предвыборной агитации </w:t>
      </w:r>
      <w:r>
        <w:rPr>
          <w:sz w:val="28"/>
        </w:rPr>
        <w:t>в период подготовки и проведения выборов депутатов Государственной Думы Федерального Собрания Российской Федерации девятого созыва</w:t>
      </w:r>
      <w:r>
        <w:rPr>
          <w:sz w:val="28"/>
        </w:rPr>
        <w:t xml:space="preserve">, </w:t>
      </w:r>
      <w:r>
        <w:rPr>
          <w:sz w:val="28"/>
        </w:rPr>
        <w:t xml:space="preserve">Территориальная избирательная комиссия города Таганрога (восточная) Ростовской области </w:t>
      </w:r>
    </w:p>
    <w:p w14:paraId="0F000000">
      <w:pPr>
        <w:widowControl w:val="1"/>
        <w:ind w:firstLine="709"/>
        <w:jc w:val="center"/>
        <w:rPr>
          <w:sz w:val="28"/>
        </w:rPr>
      </w:pPr>
      <w:r>
        <w:rPr>
          <w:sz w:val="28"/>
        </w:rPr>
        <w:t xml:space="preserve"> ПОСТАНОВЛЯЕТ:</w:t>
      </w:r>
      <w:r>
        <w:rPr>
          <w:sz w:val="28"/>
        </w:rPr>
        <w:tab/>
      </w:r>
    </w:p>
    <w:p w14:paraId="10000000">
      <w:pPr>
        <w:widowControl w:val="1"/>
        <w:tabs>
          <w:tab w:leader="none" w:pos="0" w:val="left"/>
          <w:tab w:leader="none" w:pos="426" w:val="left"/>
          <w:tab w:leader="none" w:pos="1134" w:val="left"/>
        </w:tabs>
        <w:spacing w:after="0" w:line="240" w:lineRule="auto"/>
        <w:ind w:left="360"/>
        <w:jc w:val="center"/>
        <w:rPr>
          <w:sz w:val="28"/>
        </w:rPr>
      </w:pPr>
    </w:p>
    <w:p w14:paraId="11000000">
      <w:pPr>
        <w:pStyle w:val="Style_2"/>
        <w:widowControl w:val="1"/>
        <w:numPr>
          <w:ilvl w:val="0"/>
          <w:numId w:val="1"/>
        </w:numPr>
        <w:ind/>
        <w:jc w:val="both"/>
        <w:rPr>
          <w:sz w:val="28"/>
        </w:rPr>
      </w:pPr>
      <w:r>
        <w:rPr>
          <w:sz w:val="28"/>
        </w:rPr>
        <w:t xml:space="preserve">Утвердить положение </w:t>
      </w:r>
      <w:r>
        <w:rPr>
          <w:sz w:val="28"/>
        </w:rPr>
        <w:t xml:space="preserve">о Рабочей группе при Территориальной избирательной комиссии </w:t>
      </w:r>
      <w:r>
        <w:rPr>
          <w:sz w:val="28"/>
        </w:rPr>
        <w:t xml:space="preserve"> города Таганрога (восточная) Ростовской области </w:t>
      </w:r>
      <w:r>
        <w:rPr>
          <w:sz w:val="28"/>
        </w:rPr>
        <w:br/>
      </w:r>
      <w:r>
        <w:rPr>
          <w:sz w:val="28"/>
        </w:rP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r>
        <w:rPr>
          <w:sz w:val="28"/>
        </w:rPr>
        <w:t xml:space="preserve"> </w:t>
      </w:r>
      <w:r>
        <w:rPr>
          <w:sz w:val="28"/>
        </w:rPr>
        <w:t xml:space="preserve">(далее – Рабочая группа) </w:t>
      </w:r>
      <w:r>
        <w:rPr>
          <w:sz w:val="28"/>
        </w:rPr>
        <w:t>(приложение № 1).</w:t>
      </w:r>
    </w:p>
    <w:p w14:paraId="12000000">
      <w:pPr>
        <w:pStyle w:val="Style_2"/>
        <w:widowControl w:val="1"/>
        <w:numPr>
          <w:ilvl w:val="0"/>
          <w:numId w:val="1"/>
        </w:numPr>
        <w:ind/>
        <w:jc w:val="both"/>
        <w:rPr>
          <w:sz w:val="28"/>
        </w:rPr>
      </w:pPr>
      <w:r>
        <w:rPr>
          <w:sz w:val="28"/>
        </w:rPr>
        <w:t xml:space="preserve">Сформировать </w:t>
      </w:r>
      <w:r>
        <w:rPr>
          <w:sz w:val="28"/>
        </w:rPr>
        <w:t xml:space="preserve">Рабочую группу </w:t>
      </w:r>
      <w:r>
        <w:rPr>
          <w:sz w:val="28"/>
        </w:rPr>
        <w:t xml:space="preserve">при Территориальной избирательной комиссии </w:t>
      </w:r>
      <w:r>
        <w:rPr>
          <w:sz w:val="28"/>
        </w:rPr>
        <w:t xml:space="preserve"> города Таганрога (восточная) Ростовской области</w:t>
      </w:r>
      <w:r>
        <w:rPr>
          <w:sz w:val="28"/>
        </w:rPr>
        <w:t xml:space="preserve"> по контролю </w:t>
      </w:r>
      <w:r>
        <w:rPr>
          <w:sz w:val="28"/>
        </w:rPr>
        <w:br/>
      </w:r>
      <w:r>
        <w:rPr>
          <w:sz w:val="28"/>
        </w:rPr>
        <w:t xml:space="preserve">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w:t>
      </w:r>
      <w:r>
        <w:rPr>
          <w:sz w:val="28"/>
        </w:rPr>
        <w:t>(приложение</w:t>
      </w:r>
      <w:r>
        <w:rPr>
          <w:sz w:val="28"/>
        </w:rPr>
        <w:t xml:space="preserve"> №</w:t>
      </w:r>
      <w:r>
        <w:rPr>
          <w:sz w:val="28"/>
        </w:rPr>
        <w:t xml:space="preserve"> 2).</w:t>
      </w:r>
    </w:p>
    <w:p w14:paraId="13000000">
      <w:pPr>
        <w:pStyle w:val="Style_2"/>
        <w:widowControl w:val="1"/>
        <w:numPr>
          <w:ilvl w:val="0"/>
          <w:numId w:val="1"/>
        </w:numPr>
        <w:ind/>
        <w:jc w:val="both"/>
        <w:rPr>
          <w:sz w:val="28"/>
        </w:rPr>
      </w:pPr>
      <w:r>
        <w:rPr>
          <w:sz w:val="28"/>
        </w:rPr>
        <w:t xml:space="preserve">Разместить настоящее постановление на официальном сайте Территориальной избирательной комиссии </w:t>
      </w:r>
      <w:r>
        <w:rPr>
          <w:sz w:val="28"/>
        </w:rPr>
        <w:t xml:space="preserve"> города Таганрога (восточная) Ростовской области</w:t>
      </w:r>
      <w:r>
        <w:rPr>
          <w:sz w:val="28"/>
        </w:rPr>
        <w:t xml:space="preserve"> в информационно - телекоммуникационной сети «Интернет».</w:t>
      </w:r>
    </w:p>
    <w:p w14:paraId="14000000">
      <w:pPr>
        <w:pStyle w:val="Style_2"/>
        <w:widowControl w:val="1"/>
        <w:numPr>
          <w:ilvl w:val="0"/>
          <w:numId w:val="1"/>
        </w:numPr>
        <w:ind/>
        <w:jc w:val="both"/>
        <w:rPr>
          <w:sz w:val="28"/>
        </w:rPr>
      </w:pPr>
      <w:r>
        <w:rPr>
          <w:sz w:val="28"/>
        </w:rPr>
        <w:t xml:space="preserve">Контроль за исполнением настоящего постановления возложить </w:t>
      </w:r>
      <w:r>
        <w:rPr>
          <w:sz w:val="28"/>
        </w:rPr>
        <w:br/>
      </w:r>
      <w:r>
        <w:rPr>
          <w:sz w:val="28"/>
        </w:rPr>
        <w:t>на заместителя председателя Территориальной избирательной комиссии города Таганрога (восточная) Ростовской области Н.В. Индыкову.</w:t>
      </w:r>
    </w:p>
    <w:p w14:paraId="15000000">
      <w:pPr>
        <w:pStyle w:val="Style_2"/>
        <w:widowControl w:val="1"/>
        <w:numPr>
          <w:ilvl w:val="0"/>
          <w:numId w:val="1"/>
        </w:numPr>
        <w:ind/>
        <w:jc w:val="both"/>
        <w:rPr>
          <w:sz w:val="28"/>
        </w:rPr>
      </w:pPr>
    </w:p>
    <w:tbl>
      <w:tblPr>
        <w:tblStyle w:val="Style_1"/>
        <w:tblW w:type="auto" w:w="0"/>
        <w:tblLayout w:type="fixed"/>
        <w:tblCellMar>
          <w:left w:type="dxa" w:w="70"/>
          <w:right w:type="dxa" w:w="70"/>
        </w:tblCellMar>
      </w:tblPr>
      <w:tblGrid>
        <w:gridCol w:w="7300"/>
        <w:gridCol w:w="2505"/>
      </w:tblGrid>
      <w:tr>
        <w:tc>
          <w:tcPr>
            <w:tcW w:type="dxa" w:w="7300"/>
            <w:tcMar>
              <w:left w:type="dxa" w:w="70"/>
              <w:right w:type="dxa" w:w="70"/>
            </w:tcMar>
          </w:tcPr>
          <w:p w14:paraId="16000000">
            <w:pPr>
              <w:widowControl w:val="1"/>
              <w:spacing w:after="0" w:line="240" w:lineRule="auto"/>
              <w:ind/>
              <w:rPr>
                <w:sz w:val="28"/>
              </w:rPr>
            </w:pPr>
            <w:r>
              <w:rPr>
                <w:sz w:val="28"/>
              </w:rPr>
              <w:t xml:space="preserve">Председатель комиссии </w:t>
            </w:r>
          </w:p>
        </w:tc>
        <w:tc>
          <w:tcPr>
            <w:tcW w:type="dxa" w:w="2505"/>
            <w:tcMar>
              <w:left w:type="dxa" w:w="70"/>
              <w:right w:type="dxa" w:w="70"/>
            </w:tcMar>
            <w:vAlign w:val="bottom"/>
          </w:tcPr>
          <w:p w14:paraId="17000000">
            <w:pPr>
              <w:widowControl w:val="1"/>
              <w:spacing w:after="0" w:line="240" w:lineRule="auto"/>
              <w:ind/>
              <w:rPr>
                <w:sz w:val="28"/>
              </w:rPr>
            </w:pPr>
            <w:r>
              <w:rPr>
                <w:sz w:val="28"/>
              </w:rPr>
              <w:t>В.Г. Ерасов</w:t>
            </w:r>
          </w:p>
          <w:p w14:paraId="18000000">
            <w:pPr>
              <w:widowControl w:val="1"/>
              <w:spacing w:after="0" w:line="240" w:lineRule="auto"/>
              <w:ind/>
              <w:rPr>
                <w:sz w:val="28"/>
              </w:rPr>
            </w:pPr>
          </w:p>
        </w:tc>
      </w:tr>
      <w:tr>
        <w:tc>
          <w:tcPr>
            <w:tcW w:type="dxa" w:w="7300"/>
            <w:tcMar>
              <w:left w:type="dxa" w:w="70"/>
              <w:right w:type="dxa" w:w="70"/>
            </w:tcMar>
          </w:tcPr>
          <w:p w14:paraId="19000000">
            <w:pPr>
              <w:widowControl w:val="1"/>
              <w:spacing w:after="0" w:line="240" w:lineRule="auto"/>
              <w:ind/>
              <w:rPr>
                <w:sz w:val="28"/>
              </w:rPr>
            </w:pPr>
            <w:r>
              <w:rPr>
                <w:sz w:val="28"/>
              </w:rPr>
              <w:t xml:space="preserve">Секретарь </w:t>
            </w:r>
            <w:r>
              <w:rPr>
                <w:sz w:val="28"/>
              </w:rPr>
              <w:t>комиссии</w:t>
            </w:r>
            <w:bookmarkStart w:id="1" w:name="_GoBack"/>
            <w:bookmarkEnd w:id="1"/>
          </w:p>
        </w:tc>
        <w:tc>
          <w:tcPr>
            <w:tcW w:type="dxa" w:w="2505"/>
            <w:tcMar>
              <w:left w:type="dxa" w:w="70"/>
              <w:right w:type="dxa" w:w="70"/>
            </w:tcMar>
            <w:vAlign w:val="bottom"/>
          </w:tcPr>
          <w:p w14:paraId="1A000000">
            <w:pPr>
              <w:widowControl w:val="1"/>
              <w:spacing w:after="0" w:line="240" w:lineRule="auto"/>
              <w:ind/>
              <w:rPr>
                <w:sz w:val="28"/>
                <w:highlight w:val="yellow"/>
              </w:rPr>
            </w:pPr>
            <w:r>
              <w:rPr>
                <w:sz w:val="28"/>
              </w:rPr>
              <w:t>Ю.В. Романенко</w:t>
            </w:r>
          </w:p>
        </w:tc>
      </w:tr>
    </w:tbl>
    <w:p w14:paraId="1B000000">
      <w:pPr>
        <w:widowControl w:val="1"/>
        <w:ind w:firstLine="709"/>
        <w:jc w:val="both"/>
        <w:rPr>
          <w:sz w:val="28"/>
        </w:rPr>
      </w:pPr>
    </w:p>
    <w:p w14:paraId="1C000000">
      <w:pPr>
        <w:widowControl w:val="1"/>
        <w:spacing w:after="0" w:line="360" w:lineRule="auto"/>
        <w:ind w:firstLine="851"/>
        <w:jc w:val="both"/>
        <w:rPr>
          <w:sz w:val="28"/>
        </w:rPr>
      </w:pPr>
    </w:p>
    <w:p w14:paraId="1D000000">
      <w:pPr>
        <w:widowControl w:val="1"/>
        <w:ind/>
        <w:jc w:val="both"/>
        <w:rPr>
          <w:sz w:val="28"/>
        </w:rPr>
      </w:pPr>
    </w:p>
    <w:p w14:paraId="1E000000">
      <w:pPr>
        <w:pStyle w:val="Style_3"/>
        <w:widowControl w:val="1"/>
        <w:ind w:left="4962"/>
        <w:jc w:val="center"/>
        <w:rPr>
          <w:rFonts w:ascii="Times New Roman" w:hAnsi="Times New Roman"/>
          <w:color w:val="000000"/>
          <w:sz w:val="24"/>
        </w:rPr>
      </w:pPr>
    </w:p>
    <w:p w14:paraId="1F000000">
      <w:pPr>
        <w:pStyle w:val="Style_3"/>
        <w:widowControl w:val="1"/>
        <w:ind w:left="4962"/>
        <w:jc w:val="center"/>
        <w:rPr>
          <w:rFonts w:ascii="Times New Roman" w:hAnsi="Times New Roman"/>
          <w:color w:val="000000"/>
          <w:sz w:val="24"/>
        </w:rPr>
      </w:pPr>
    </w:p>
    <w:p w14:paraId="20000000">
      <w:pPr>
        <w:pStyle w:val="Style_3"/>
        <w:widowControl w:val="1"/>
        <w:ind w:left="4962"/>
        <w:jc w:val="center"/>
        <w:rPr>
          <w:rFonts w:ascii="Times New Roman" w:hAnsi="Times New Roman"/>
          <w:color w:val="000000"/>
          <w:sz w:val="24"/>
        </w:rPr>
      </w:pPr>
    </w:p>
    <w:p w14:paraId="21000000">
      <w:pPr>
        <w:pStyle w:val="Style_3"/>
        <w:widowControl w:val="1"/>
        <w:ind w:left="4962"/>
        <w:jc w:val="center"/>
        <w:rPr>
          <w:rFonts w:ascii="Times New Roman" w:hAnsi="Times New Roman"/>
          <w:color w:val="000000"/>
          <w:sz w:val="24"/>
        </w:rPr>
      </w:pPr>
    </w:p>
    <w:p w14:paraId="22000000">
      <w:pPr>
        <w:pStyle w:val="Style_3"/>
        <w:widowControl w:val="1"/>
        <w:ind w:left="4962"/>
        <w:jc w:val="center"/>
        <w:rPr>
          <w:rFonts w:ascii="Times New Roman" w:hAnsi="Times New Roman"/>
          <w:color w:val="000000"/>
          <w:sz w:val="24"/>
        </w:rPr>
      </w:pPr>
    </w:p>
    <w:p w14:paraId="23000000">
      <w:pPr>
        <w:pStyle w:val="Style_3"/>
        <w:widowControl w:val="1"/>
        <w:ind w:left="4962"/>
        <w:jc w:val="center"/>
        <w:rPr>
          <w:rFonts w:ascii="Times New Roman" w:hAnsi="Times New Roman"/>
          <w:color w:val="000000"/>
          <w:sz w:val="24"/>
        </w:rPr>
      </w:pPr>
    </w:p>
    <w:p w14:paraId="24000000">
      <w:pPr>
        <w:pStyle w:val="Style_3"/>
        <w:widowControl w:val="1"/>
        <w:ind w:left="4962"/>
        <w:jc w:val="center"/>
        <w:rPr>
          <w:rFonts w:ascii="Times New Roman" w:hAnsi="Times New Roman"/>
          <w:color w:val="000000"/>
          <w:sz w:val="24"/>
        </w:rPr>
      </w:pPr>
    </w:p>
    <w:p w14:paraId="25000000">
      <w:pPr>
        <w:pStyle w:val="Style_3"/>
        <w:widowControl w:val="1"/>
        <w:ind w:left="4962"/>
        <w:jc w:val="center"/>
        <w:rPr>
          <w:rFonts w:ascii="Times New Roman" w:hAnsi="Times New Roman"/>
          <w:color w:val="000000"/>
          <w:sz w:val="24"/>
        </w:rPr>
      </w:pPr>
    </w:p>
    <w:p w14:paraId="26000000">
      <w:pPr>
        <w:pStyle w:val="Style_3"/>
        <w:widowControl w:val="1"/>
        <w:ind/>
        <w:rPr>
          <w:rFonts w:ascii="Times New Roman" w:hAnsi="Times New Roman"/>
          <w:color w:val="000000"/>
          <w:sz w:val="24"/>
        </w:rPr>
      </w:pPr>
    </w:p>
    <w:p w14:paraId="27000000">
      <w:pPr>
        <w:pStyle w:val="Style_3"/>
        <w:widowControl w:val="1"/>
        <w:ind/>
        <w:rPr>
          <w:rFonts w:ascii="Times New Roman" w:hAnsi="Times New Roman"/>
          <w:color w:val="000000"/>
          <w:sz w:val="24"/>
        </w:rPr>
      </w:pPr>
    </w:p>
    <w:p w14:paraId="28000000">
      <w:pPr>
        <w:widowControl w:val="1"/>
        <w:spacing w:after="0" w:line="240" w:lineRule="auto"/>
        <w:ind w:left="6243"/>
        <w:jc w:val="center"/>
      </w:pPr>
    </w:p>
    <w:p w14:paraId="29000000">
      <w:pPr>
        <w:widowControl w:val="1"/>
        <w:spacing w:after="0" w:line="240" w:lineRule="auto"/>
        <w:ind w:left="6243"/>
        <w:jc w:val="center"/>
      </w:pPr>
    </w:p>
    <w:p w14:paraId="2A000000">
      <w:pPr>
        <w:widowControl w:val="1"/>
        <w:spacing w:after="0" w:line="240" w:lineRule="auto"/>
        <w:ind w:left="6243"/>
        <w:jc w:val="center"/>
      </w:pPr>
    </w:p>
    <w:p w14:paraId="2B000000">
      <w:pPr>
        <w:widowControl w:val="1"/>
        <w:spacing w:after="0" w:line="240" w:lineRule="auto"/>
        <w:ind w:left="6243"/>
        <w:jc w:val="center"/>
      </w:pPr>
    </w:p>
    <w:p w14:paraId="2C000000">
      <w:pPr>
        <w:widowControl w:val="1"/>
        <w:spacing w:after="0" w:line="240" w:lineRule="auto"/>
        <w:ind w:left="6243"/>
        <w:jc w:val="center"/>
      </w:pPr>
    </w:p>
    <w:p w14:paraId="2D000000">
      <w:pPr>
        <w:widowControl w:val="1"/>
        <w:spacing w:after="0" w:line="240" w:lineRule="auto"/>
        <w:ind w:left="6243"/>
        <w:jc w:val="center"/>
      </w:pPr>
    </w:p>
    <w:p w14:paraId="2E000000">
      <w:pPr>
        <w:widowControl w:val="1"/>
        <w:spacing w:after="0" w:line="240" w:lineRule="auto"/>
        <w:ind w:left="6243"/>
        <w:jc w:val="center"/>
      </w:pPr>
    </w:p>
    <w:p w14:paraId="2F000000">
      <w:pPr>
        <w:widowControl w:val="1"/>
        <w:spacing w:after="0" w:line="240" w:lineRule="auto"/>
        <w:ind w:left="6243"/>
        <w:jc w:val="center"/>
      </w:pPr>
    </w:p>
    <w:p w14:paraId="30000000">
      <w:pPr>
        <w:widowControl w:val="1"/>
        <w:spacing w:after="0" w:line="240" w:lineRule="auto"/>
        <w:ind w:left="6243"/>
        <w:jc w:val="center"/>
      </w:pPr>
    </w:p>
    <w:p w14:paraId="31000000">
      <w:pPr>
        <w:widowControl w:val="1"/>
        <w:spacing w:after="0" w:line="240" w:lineRule="auto"/>
        <w:ind w:left="6243"/>
        <w:jc w:val="center"/>
      </w:pPr>
    </w:p>
    <w:p w14:paraId="32000000">
      <w:pPr>
        <w:widowControl w:val="1"/>
        <w:spacing w:after="0" w:line="240" w:lineRule="auto"/>
        <w:ind w:left="6243"/>
        <w:jc w:val="center"/>
      </w:pPr>
    </w:p>
    <w:p w14:paraId="33000000">
      <w:pPr>
        <w:widowControl w:val="1"/>
        <w:spacing w:after="0" w:line="240" w:lineRule="auto"/>
        <w:ind w:left="6243"/>
        <w:jc w:val="center"/>
      </w:pPr>
    </w:p>
    <w:p w14:paraId="34000000">
      <w:pPr>
        <w:widowControl w:val="1"/>
        <w:spacing w:after="0" w:line="240" w:lineRule="auto"/>
        <w:ind w:left="6243"/>
        <w:jc w:val="center"/>
      </w:pPr>
    </w:p>
    <w:p w14:paraId="35000000">
      <w:pPr>
        <w:widowControl w:val="1"/>
        <w:spacing w:after="0" w:line="240" w:lineRule="auto"/>
        <w:ind w:left="6243"/>
        <w:jc w:val="center"/>
      </w:pPr>
    </w:p>
    <w:p w14:paraId="36000000">
      <w:pPr>
        <w:widowControl w:val="1"/>
        <w:spacing w:after="0" w:line="240" w:lineRule="auto"/>
        <w:ind w:left="6243"/>
        <w:jc w:val="center"/>
      </w:pPr>
    </w:p>
    <w:p w14:paraId="37000000">
      <w:pPr>
        <w:widowControl w:val="1"/>
        <w:spacing w:after="0" w:line="240" w:lineRule="auto"/>
        <w:ind w:left="6243"/>
        <w:jc w:val="center"/>
      </w:pPr>
    </w:p>
    <w:p w14:paraId="38000000">
      <w:pPr>
        <w:widowControl w:val="1"/>
        <w:spacing w:after="0" w:line="240" w:lineRule="auto"/>
        <w:ind w:left="6243"/>
        <w:jc w:val="center"/>
      </w:pPr>
    </w:p>
    <w:p w14:paraId="39000000">
      <w:pPr>
        <w:widowControl w:val="1"/>
        <w:spacing w:after="0" w:line="240" w:lineRule="auto"/>
        <w:ind w:left="6243"/>
        <w:jc w:val="center"/>
      </w:pPr>
    </w:p>
    <w:p w14:paraId="3A000000">
      <w:pPr>
        <w:widowControl w:val="1"/>
        <w:spacing w:after="0" w:line="240" w:lineRule="auto"/>
        <w:ind w:left="6243"/>
        <w:jc w:val="center"/>
      </w:pPr>
    </w:p>
    <w:p w14:paraId="3B000000">
      <w:pPr>
        <w:widowControl w:val="1"/>
        <w:spacing w:after="0" w:line="240" w:lineRule="auto"/>
        <w:ind w:left="6243"/>
        <w:jc w:val="center"/>
      </w:pPr>
      <w:r>
        <w:t>Приложение</w:t>
      </w:r>
      <w:r>
        <w:t xml:space="preserve"> № 1</w:t>
      </w:r>
    </w:p>
    <w:p w14:paraId="3C000000">
      <w:pPr>
        <w:widowControl w:val="1"/>
        <w:spacing w:after="0" w:line="240" w:lineRule="auto"/>
        <w:ind w:left="6243"/>
        <w:jc w:val="center"/>
        <w:rPr>
          <w:sz w:val="28"/>
        </w:rPr>
      </w:pPr>
      <w:r>
        <w:t xml:space="preserve">к постановлению Территориальной избирательной комиссии </w:t>
      </w:r>
      <w:r>
        <w:rPr>
          <w:sz w:val="28"/>
        </w:rPr>
        <w:t xml:space="preserve"> </w:t>
      </w:r>
      <w:r>
        <w:rPr>
          <w:sz w:val="24"/>
        </w:rPr>
        <w:t xml:space="preserve">города Таганрога (восточная) Ростовской области </w:t>
      </w:r>
    </w:p>
    <w:p w14:paraId="3D000000">
      <w:pPr>
        <w:widowControl w:val="1"/>
        <w:spacing w:after="0" w:line="240" w:lineRule="auto"/>
        <w:ind w:left="6243"/>
        <w:jc w:val="center"/>
      </w:pPr>
    </w:p>
    <w:p w14:paraId="3E000000">
      <w:pPr>
        <w:widowControl w:val="1"/>
        <w:spacing w:after="0" w:line="240" w:lineRule="auto"/>
        <w:ind w:left="6243" w:right="175"/>
        <w:jc w:val="center"/>
      </w:pPr>
      <w:r>
        <w:t xml:space="preserve">от </w:t>
      </w:r>
      <w:r>
        <w:t>01</w:t>
      </w:r>
      <w:r>
        <w:t>.0</w:t>
      </w:r>
      <w:r>
        <w:t>7</w:t>
      </w:r>
      <w:r>
        <w:t>.202</w:t>
      </w:r>
      <w:r>
        <w:t>6</w:t>
      </w:r>
      <w:r>
        <w:t xml:space="preserve">  № </w:t>
      </w:r>
      <w:r>
        <w:t>4-11</w:t>
      </w:r>
    </w:p>
    <w:p w14:paraId="3F000000">
      <w:pPr>
        <w:pStyle w:val="Style_4"/>
        <w:widowControl w:val="1"/>
        <w:spacing w:line="240" w:lineRule="auto"/>
        <w:ind/>
        <w:jc w:val="center"/>
        <w:rPr>
          <w:rFonts w:ascii="Times New Roman" w:hAnsi="Times New Roman"/>
          <w:color w:val="000000"/>
        </w:rPr>
      </w:pPr>
      <w:r>
        <w:rPr>
          <w:rFonts w:ascii="Times New Roman" w:hAnsi="Times New Roman"/>
          <w:color w:val="000000"/>
        </w:rPr>
        <w:t>ПОЛОЖЕНИЕ</w:t>
      </w:r>
    </w:p>
    <w:p w14:paraId="40000000"/>
    <w:tbl>
      <w:tblPr>
        <w:tblStyle w:val="Style_5"/>
        <w:tblW w:type="auto" w:w="0"/>
        <w:jc w:val="center"/>
        <w:tblBorders>
          <w:top w:color="000000" w:val="nil"/>
          <w:left w:color="000000" w:val="nil"/>
          <w:bottom w:color="000000" w:val="nil"/>
          <w:right w:color="000000" w:val="nil"/>
          <w:insideH w:color="000000" w:val="nil"/>
          <w:insideV w:color="000000" w:val="nil"/>
        </w:tblBorders>
        <w:tblLayout w:type="fixed"/>
      </w:tblPr>
      <w:tblGrid>
        <w:gridCol w:w="7733"/>
      </w:tblGrid>
      <w:tr>
        <w:trPr>
          <w:trHeight w:hRule="atLeast" w:val="2463"/>
        </w:trPr>
        <w:tc>
          <w:tcPr>
            <w:tcW w:type="dxa" w:w="7733"/>
            <w:tcBorders>
              <w:top w:color="000000" w:val="nil"/>
              <w:left w:color="000000" w:val="nil"/>
              <w:bottom w:color="000000" w:val="nil"/>
              <w:right w:color="000000" w:val="nil"/>
            </w:tcBorders>
          </w:tcPr>
          <w:p w14:paraId="41000000">
            <w:pPr>
              <w:pStyle w:val="Style_2"/>
              <w:widowControl w:val="1"/>
              <w:ind/>
              <w:jc w:val="both"/>
              <w:rPr>
                <w:b w:val="1"/>
                <w:sz w:val="28"/>
              </w:rPr>
            </w:pPr>
            <w:r>
              <w:rPr>
                <w:b w:val="1"/>
                <w:sz w:val="28"/>
              </w:rPr>
              <w:t xml:space="preserve">О Рабочей группе при Территориальной избирательной комиссии города Таганрога (восточная) Ростовской области </w:t>
            </w:r>
            <w:r>
              <w:rPr>
                <w:b w:val="1"/>
                <w:sz w:val="28"/>
              </w:rPr>
              <w:t xml:space="preserve">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w:t>
            </w:r>
            <w:r>
              <w:rPr>
                <w:b w:val="1"/>
                <w:sz w:val="28"/>
              </w:rPr>
              <w:t>девятого созыва</w:t>
            </w:r>
          </w:p>
          <w:p w14:paraId="42000000">
            <w:pPr>
              <w:pStyle w:val="Style_2"/>
              <w:widowControl w:val="1"/>
              <w:ind/>
              <w:jc w:val="both"/>
              <w:rPr>
                <w:b w:val="1"/>
                <w:sz w:val="28"/>
              </w:rPr>
            </w:pPr>
          </w:p>
        </w:tc>
      </w:tr>
    </w:tbl>
    <w:p w14:paraId="43000000">
      <w:pPr>
        <w:widowControl w:val="1"/>
        <w:spacing w:after="0" w:line="240" w:lineRule="auto"/>
        <w:ind/>
        <w:jc w:val="center"/>
        <w:rPr>
          <w:sz w:val="28"/>
        </w:rPr>
      </w:pPr>
      <w:r>
        <w:rPr>
          <w:sz w:val="28"/>
        </w:rPr>
        <w:t>1. Общие положения</w:t>
      </w:r>
    </w:p>
    <w:p w14:paraId="44000000">
      <w:pPr>
        <w:widowControl w:val="1"/>
        <w:spacing w:after="0" w:line="240" w:lineRule="auto"/>
        <w:ind/>
        <w:jc w:val="center"/>
        <w:rPr>
          <w:sz w:val="28"/>
        </w:rPr>
      </w:pPr>
    </w:p>
    <w:p w14:paraId="45000000">
      <w:pPr>
        <w:widowControl w:val="1"/>
        <w:spacing w:after="0" w:line="240" w:lineRule="auto"/>
        <w:ind w:firstLine="709"/>
        <w:jc w:val="both"/>
        <w:rPr>
          <w:sz w:val="28"/>
        </w:rPr>
      </w:pPr>
      <w:r>
        <w:rPr>
          <w:sz w:val="28"/>
        </w:rPr>
        <w:t>1.1. Настоящее Положение определяет порядок и формы деятельности Рабочей группы при Территориальной избирательной комиссии</w:t>
      </w:r>
      <w:r>
        <w:rPr>
          <w:sz w:val="28"/>
        </w:rPr>
        <w:t xml:space="preserve"> города Таганрога (восточная) Ростовской области</w:t>
      </w:r>
      <w:r>
        <w:rPr>
          <w:sz w:val="28"/>
        </w:rPr>
        <w:t xml:space="preserve"> </w:t>
      </w:r>
      <w:r>
        <w:rPr>
          <w:sz w:val="28"/>
        </w:rPr>
        <w:t>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(далее – Рабочая группа).</w:t>
      </w:r>
    </w:p>
    <w:p w14:paraId="46000000">
      <w:pPr>
        <w:widowControl w:val="1"/>
        <w:spacing w:after="0" w:line="240" w:lineRule="auto"/>
        <w:ind w:firstLine="720"/>
        <w:jc w:val="both"/>
        <w:rPr>
          <w:sz w:val="28"/>
        </w:rPr>
      </w:pPr>
      <w:r>
        <w:rPr>
          <w:sz w:val="28"/>
        </w:rPr>
        <w:t xml:space="preserve">1.2. Рабочая группа образуется при Территориальной избирательной комиссии </w:t>
      </w:r>
      <w:r>
        <w:rPr>
          <w:sz w:val="28"/>
        </w:rPr>
        <w:t xml:space="preserve"> города Таганрога (восточная) Ростовской области</w:t>
      </w:r>
      <w:r>
        <w:rPr>
          <w:sz w:val="28"/>
        </w:rPr>
        <w:t xml:space="preserve"> (далее – ТИК) </w:t>
      </w:r>
      <w:r>
        <w:rPr>
          <w:sz w:val="28"/>
        </w:rPr>
        <w:br/>
      </w:r>
      <w:r>
        <w:rPr>
          <w:sz w:val="28"/>
        </w:rPr>
        <w:t>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 и других задач, предусмотренных настоящим Положением.</w:t>
      </w:r>
    </w:p>
    <w:p w14:paraId="47000000">
      <w:pPr>
        <w:widowControl w:val="1"/>
        <w:spacing w:after="0" w:line="240" w:lineRule="auto"/>
        <w:ind w:firstLine="720"/>
        <w:jc w:val="both"/>
        <w:rPr>
          <w:sz w:val="28"/>
        </w:rPr>
      </w:pPr>
      <w:r>
        <w:rPr>
          <w:sz w:val="28"/>
        </w:rPr>
        <w:t xml:space="preserve">1.3. В своей деятельности Рабочая группа руководствуется Конституцией Российской Федерации, Федеральным законом от 22.02.2014 № 20-ФЗ </w:t>
      </w:r>
      <w:r>
        <w:rPr>
          <w:sz w:val="28"/>
        </w:rPr>
        <w:br/>
      </w:r>
      <w:r>
        <w:rPr>
          <w:sz w:val="28"/>
        </w:rPr>
        <w:t xml:space="preserve">«О выборах депутатов Государственной Думы Федерального Собрания Российской Федерации», Законом Российской Федерации </w:t>
      </w:r>
      <w:r>
        <w:rPr>
          <w:sz w:val="28"/>
        </w:rPr>
        <w:br/>
      </w:r>
      <w:r>
        <w:rPr>
          <w:sz w:val="28"/>
        </w:rPr>
        <w:t>от 27.12.1991 № 2124-1 «О средствах массовой информации», иными федеральными 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14:paraId="48000000">
      <w:pPr>
        <w:widowControl w:val="1"/>
        <w:spacing w:after="0" w:line="240" w:lineRule="auto"/>
        <w:ind w:firstLine="720"/>
        <w:jc w:val="both"/>
        <w:rPr>
          <w:sz w:val="28"/>
        </w:rPr>
      </w:pPr>
      <w:r>
        <w:rPr>
          <w:sz w:val="28"/>
        </w:rPr>
        <w:t xml:space="preserve">1.4. В состав Рабочей группы входят заместитель председателя ТИК, </w:t>
      </w:r>
      <w:r>
        <w:rPr>
          <w:sz w:val="28"/>
        </w:rPr>
        <w:br/>
      </w:r>
      <w:r>
        <w:rPr>
          <w:sz w:val="28"/>
        </w:rPr>
        <w:t xml:space="preserve">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Pr>
          <w:sz w:val="28"/>
        </w:rPr>
        <w:br/>
      </w:r>
      <w:r>
        <w:rPr>
          <w:sz w:val="28"/>
        </w:rPr>
        <w:t>В состав Рабочей группы могут по согласованию входить иные лица.</w:t>
      </w:r>
    </w:p>
    <w:p w14:paraId="49000000">
      <w:pPr>
        <w:widowControl w:val="1"/>
        <w:spacing w:after="0" w:line="240" w:lineRule="auto"/>
        <w:ind w:firstLine="720"/>
        <w:jc w:val="both"/>
        <w:rPr>
          <w:sz w:val="28"/>
        </w:rPr>
      </w:pPr>
      <w:r>
        <w:rPr>
          <w:sz w:val="28"/>
        </w:rPr>
        <w:t xml:space="preserve">1.5. Состав Рабочей группы утверждается постановлением ТИК. Руководитель, заместитель руководителя Рабочей группы назначаются </w:t>
      </w:r>
      <w:r>
        <w:rPr>
          <w:sz w:val="28"/>
        </w:rPr>
        <w:br/>
      </w:r>
      <w:r>
        <w:rPr>
          <w:sz w:val="28"/>
        </w:rPr>
        <w:t>из числа членов ТИК.</w:t>
      </w:r>
    </w:p>
    <w:p w14:paraId="4A000000">
      <w:pPr>
        <w:widowControl w:val="1"/>
        <w:spacing w:after="0" w:line="240" w:lineRule="auto"/>
        <w:ind/>
        <w:jc w:val="both"/>
        <w:rPr>
          <w:sz w:val="28"/>
        </w:rPr>
      </w:pPr>
    </w:p>
    <w:p w14:paraId="4B000000">
      <w:pPr>
        <w:widowControl w:val="1"/>
        <w:spacing w:after="0" w:line="240" w:lineRule="auto"/>
        <w:ind/>
        <w:jc w:val="both"/>
        <w:rPr>
          <w:sz w:val="28"/>
        </w:rPr>
      </w:pPr>
    </w:p>
    <w:p w14:paraId="4C000000">
      <w:pPr>
        <w:widowControl w:val="1"/>
        <w:spacing w:after="0" w:line="240" w:lineRule="auto"/>
        <w:ind/>
        <w:jc w:val="center"/>
        <w:rPr>
          <w:sz w:val="28"/>
        </w:rPr>
      </w:pPr>
      <w:r>
        <w:rPr>
          <w:sz w:val="28"/>
        </w:rPr>
        <w:t>2. Вопросы, входящие в компетенцию Рабочей группы</w:t>
      </w:r>
    </w:p>
    <w:p w14:paraId="4D000000">
      <w:pPr>
        <w:widowControl w:val="1"/>
        <w:spacing w:after="0" w:line="240" w:lineRule="auto"/>
        <w:ind/>
        <w:jc w:val="both"/>
        <w:rPr>
          <w:sz w:val="28"/>
        </w:rPr>
      </w:pPr>
    </w:p>
    <w:p w14:paraId="4E000000">
      <w:pPr>
        <w:widowControl w:val="1"/>
        <w:spacing w:after="0" w:line="240" w:lineRule="auto"/>
        <w:ind w:firstLine="720"/>
        <w:jc w:val="both"/>
        <w:rPr>
          <w:sz w:val="28"/>
        </w:rPr>
      </w:pPr>
      <w:r>
        <w:rPr>
          <w:sz w:val="28"/>
        </w:rPr>
        <w:t>2.1.</w:t>
      </w:r>
      <w:r>
        <w:rPr>
          <w:sz w:val="28"/>
        </w:rPr>
        <w:t> </w:t>
      </w:r>
      <w:r>
        <w:rPr>
          <w:sz w:val="28"/>
        </w:rPr>
        <w:t>В компетенцию Рабочей группы входит:</w:t>
      </w:r>
    </w:p>
    <w:p w14:paraId="4F000000">
      <w:pPr>
        <w:widowControl w:val="1"/>
        <w:spacing w:after="0" w:line="240" w:lineRule="auto"/>
        <w:ind w:firstLine="709"/>
        <w:jc w:val="both"/>
        <w:rPr>
          <w:sz w:val="28"/>
        </w:rPr>
      </w:pPr>
      <w:r>
        <w:rPr>
          <w:sz w:val="28"/>
        </w:rPr>
        <w:t>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мессенджеры и т.п.).</w:t>
      </w:r>
    </w:p>
    <w:p w14:paraId="50000000">
      <w:pPr>
        <w:widowControl w:val="1"/>
        <w:spacing w:after="0" w:line="240" w:lineRule="auto"/>
        <w:ind w:firstLine="709"/>
        <w:jc w:val="both"/>
        <w:rPr>
          <w:sz w:val="28"/>
        </w:rPr>
      </w:pPr>
      <w:r>
        <w:rPr>
          <w:sz w:val="28"/>
        </w:rPr>
        <w:t>2.1.2. 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
    <w:p w14:paraId="51000000">
      <w:pPr>
        <w:widowControl w:val="1"/>
        <w:spacing w:after="0" w:line="240" w:lineRule="auto"/>
        <w:ind w:firstLine="709"/>
        <w:jc w:val="both"/>
        <w:rPr>
          <w:sz w:val="28"/>
        </w:rPr>
      </w:pPr>
      <w:r>
        <w:rPr>
          <w:sz w:val="28"/>
        </w:rPr>
        <w:t>2.1.3. Незамедлительное направление агитационных материалов, распространяемых (обнародуемых)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14:paraId="52000000">
      <w:pPr>
        <w:widowControl w:val="1"/>
        <w:spacing w:after="0" w:line="240" w:lineRule="auto"/>
        <w:ind w:firstLine="709"/>
        <w:jc w:val="both"/>
        <w:rPr>
          <w:sz w:val="28"/>
        </w:rPr>
      </w:pPr>
      <w:r>
        <w:rPr>
          <w:sz w:val="28"/>
        </w:rPr>
        <w:t xml:space="preserve">2.1.4. Рассмотрение вопросов, касающихся публикаций результатов опросов общественного мнения, связанных с выборами депутатов Государственной Думы Федерального Собрания Российской Федерации девятого созыва. </w:t>
      </w:r>
    </w:p>
    <w:p w14:paraId="53000000">
      <w:pPr>
        <w:widowControl w:val="1"/>
        <w:spacing w:after="0" w:line="240" w:lineRule="auto"/>
        <w:ind w:firstLine="708"/>
        <w:jc w:val="both"/>
        <w:rPr>
          <w:sz w:val="28"/>
        </w:rPr>
      </w:pPr>
      <w:r>
        <w:rPr>
          <w:sz w:val="28"/>
        </w:rPr>
        <w:t>2.1.5. Ежедневный сбор информации о формах и методах проведения предвыборной агитации на соответствующей территории (на</w:t>
      </w:r>
      <w:r>
        <w:rPr>
          <w:sz w:val="28"/>
        </w:rPr>
        <w:t xml:space="preserve"> каналах организаций телерадиовещания, в периодических печатных изданиях </w:t>
      </w:r>
      <w:r>
        <w:rPr>
          <w:sz w:val="28"/>
        </w:rPr>
        <w:br/>
      </w:r>
      <w:r>
        <w:rPr>
          <w:sz w:val="28"/>
        </w:rPr>
        <w:t xml:space="preserve">и сетевых изданиях, о проведении агитационных публичных мероприятий, </w:t>
      </w:r>
      <w:r>
        <w:rPr>
          <w:sz w:val="28"/>
        </w:rPr>
        <w:br/>
      </w:r>
      <w:r>
        <w:rPr>
          <w:sz w:val="28"/>
        </w:rP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Pr>
          <w:sz w:val="28"/>
        </w:rPr>
        <w:t>).</w:t>
      </w:r>
    </w:p>
    <w:p w14:paraId="54000000">
      <w:pPr>
        <w:widowControl w:val="1"/>
        <w:spacing w:after="0" w:line="240" w:lineRule="auto"/>
        <w:ind w:firstLine="709"/>
        <w:jc w:val="both"/>
        <w:rPr>
          <w:sz w:val="28"/>
        </w:rPr>
      </w:pPr>
      <w:r>
        <w:rPr>
          <w:sz w:val="28"/>
        </w:rPr>
        <w:t>2.1.6. Подготовка обобщенной информации по формам предвыборной агитации.</w:t>
      </w:r>
    </w:p>
    <w:p w14:paraId="55000000">
      <w:pPr>
        <w:widowControl w:val="1"/>
        <w:spacing w:after="0" w:line="240" w:lineRule="auto"/>
        <w:ind w:firstLine="709"/>
        <w:jc w:val="both"/>
        <w:rPr>
          <w:sz w:val="28"/>
        </w:rPr>
      </w:pPr>
      <w:r>
        <w:rPr>
          <w:sz w:val="28"/>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14:paraId="56000000">
      <w:pPr>
        <w:widowControl w:val="1"/>
        <w:spacing w:after="0" w:line="240" w:lineRule="auto"/>
        <w:ind w:firstLine="709"/>
        <w:jc w:val="both"/>
        <w:rPr>
          <w:sz w:val="28"/>
        </w:rPr>
      </w:pPr>
      <w:r>
        <w:rPr>
          <w:sz w:val="28"/>
        </w:rPr>
        <w:t xml:space="preserve">2.1.8. Представление в контрольно-ревизионный отдел Избирательной комиссии Ростовской области копий материалов по рассматриваемым </w:t>
      </w:r>
      <w:r>
        <w:rPr>
          <w:sz w:val="28"/>
        </w:rPr>
        <w:br/>
      </w:r>
      <w:r>
        <w:rPr>
          <w:sz w:val="28"/>
        </w:rPr>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14:paraId="57000000">
      <w:pPr>
        <w:widowControl w:val="1"/>
        <w:spacing w:after="0" w:line="240" w:lineRule="auto"/>
        <w:ind w:firstLine="709"/>
        <w:jc w:val="both"/>
        <w:rPr>
          <w:sz w:val="28"/>
        </w:rPr>
      </w:pPr>
      <w:r>
        <w:rPr>
          <w:sz w:val="28"/>
        </w:rPr>
        <w:t xml:space="preserve">2.1.9.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w:t>
      </w:r>
      <w:r>
        <w:rPr>
          <w:sz w:val="28"/>
        </w:rPr>
        <w:t>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14:paraId="58000000">
      <w:pPr>
        <w:widowControl w:val="1"/>
        <w:spacing w:after="0" w:line="240" w:lineRule="auto"/>
        <w:ind w:firstLine="709"/>
        <w:jc w:val="both"/>
        <w:rPr>
          <w:sz w:val="28"/>
        </w:rPr>
      </w:pPr>
      <w:r>
        <w:rPr>
          <w:sz w:val="28"/>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14:paraId="59000000">
      <w:pPr>
        <w:widowControl w:val="1"/>
        <w:spacing w:after="0" w:line="240" w:lineRule="auto"/>
        <w:ind w:firstLine="709"/>
        <w:jc w:val="both"/>
        <w:rPr>
          <w:sz w:val="28"/>
        </w:rPr>
      </w:pPr>
      <w:r>
        <w:rPr>
          <w:sz w:val="28"/>
        </w:rPr>
        <w:t xml:space="preserve">2.1.11. Рассмотрение во взаимодействии с контрольно-ревизионным отделом Избирательной комиссии Ростовской области жалоб, заявлений </w:t>
      </w:r>
      <w:r>
        <w:rPr>
          <w:sz w:val="28"/>
        </w:rPr>
        <w:br/>
      </w:r>
      <w:r>
        <w:rPr>
          <w:sz w:val="28"/>
        </w:rPr>
        <w:t xml:space="preserve">и иных обращений по вопросам соблюдения установленного порядка информирования избирателей, проведения предвыборной агитации </w:t>
      </w:r>
      <w:r>
        <w:rPr>
          <w:sz w:val="28"/>
        </w:rPr>
        <w:br/>
      </w:r>
      <w:r>
        <w:rPr>
          <w:sz w:val="28"/>
        </w:rPr>
        <w:t>на соответствующей территории, поступающих в Избирательную комиссию Ростовской области.</w:t>
      </w:r>
    </w:p>
    <w:p w14:paraId="5A000000">
      <w:pPr>
        <w:widowControl w:val="1"/>
        <w:spacing w:after="0" w:line="240" w:lineRule="auto"/>
        <w:ind w:firstLine="708"/>
        <w:jc w:val="both"/>
        <w:rPr>
          <w:sz w:val="28"/>
        </w:rPr>
      </w:pPr>
      <w:r>
        <w:rPr>
          <w:sz w:val="28"/>
        </w:rPr>
        <w:t xml:space="preserve">2.1.12. </w:t>
      </w:r>
      <w:r>
        <w:rPr>
          <w:sz w:val="28"/>
        </w:rPr>
        <w:t xml:space="preserve"> Контроль за выделением органами местного самоуправления </w:t>
      </w:r>
      <w:r>
        <w:rPr>
          <w:sz w:val="28"/>
        </w:rPr>
        <w:br/>
      </w:r>
      <w:r>
        <w:rPr>
          <w:sz w:val="28"/>
        </w:rP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14:paraId="5B000000">
      <w:pPr>
        <w:widowControl w:val="1"/>
        <w:spacing w:after="0" w:line="240" w:lineRule="auto"/>
        <w:ind w:firstLine="709"/>
        <w:jc w:val="both"/>
        <w:rPr>
          <w:sz w:val="28"/>
        </w:rPr>
      </w:pPr>
    </w:p>
    <w:p w14:paraId="5C000000">
      <w:pPr>
        <w:widowControl w:val="1"/>
        <w:spacing w:after="0" w:line="240" w:lineRule="auto"/>
        <w:ind w:firstLine="709"/>
        <w:jc w:val="both"/>
        <w:rPr>
          <w:sz w:val="28"/>
        </w:rPr>
      </w:pPr>
    </w:p>
    <w:p w14:paraId="5D000000">
      <w:pPr>
        <w:widowControl w:val="1"/>
        <w:spacing w:after="0" w:line="240" w:lineRule="auto"/>
        <w:ind/>
        <w:jc w:val="center"/>
        <w:rPr>
          <w:sz w:val="28"/>
        </w:rPr>
      </w:pPr>
      <w:r>
        <w:rPr>
          <w:sz w:val="28"/>
        </w:rPr>
        <w:t>3. Порядок проведения заседаний Рабочей группы</w:t>
      </w:r>
    </w:p>
    <w:p w14:paraId="5E000000">
      <w:pPr>
        <w:widowControl w:val="1"/>
        <w:spacing w:after="0" w:line="240" w:lineRule="auto"/>
        <w:ind w:firstLine="720"/>
        <w:jc w:val="both"/>
        <w:rPr>
          <w:sz w:val="28"/>
        </w:rPr>
      </w:pPr>
    </w:p>
    <w:p w14:paraId="5F000000">
      <w:pPr>
        <w:widowControl w:val="1"/>
        <w:spacing w:after="0" w:line="240" w:lineRule="auto"/>
        <w:ind w:firstLine="720"/>
        <w:jc w:val="both"/>
        <w:rPr>
          <w:sz w:val="28"/>
        </w:rPr>
      </w:pPr>
      <w:r>
        <w:rPr>
          <w:sz w:val="28"/>
        </w:rPr>
        <w:t xml:space="preserve">3.1. Заседание Рабочей группы созывает руководитель Рабочей группы </w:t>
      </w:r>
      <w:r>
        <w:rPr>
          <w:sz w:val="28"/>
        </w:rPr>
        <w:br/>
      </w:r>
      <w:r>
        <w:rPr>
          <w:sz w:val="28"/>
        </w:rPr>
        <w:t>(в случае его отсутствия – заместитель руководителя Рабочей группы). Заседание Рабочей группы созывается по мере необходимости.</w:t>
      </w:r>
    </w:p>
    <w:p w14:paraId="60000000">
      <w:pPr>
        <w:widowControl w:val="1"/>
        <w:spacing w:after="0" w:line="240" w:lineRule="auto"/>
        <w:ind w:firstLine="720"/>
        <w:jc w:val="both"/>
        <w:rPr>
          <w:sz w:val="28"/>
        </w:rPr>
      </w:pPr>
      <w:r>
        <w:rPr>
          <w:sz w:val="28"/>
        </w:rPr>
        <w:t xml:space="preserve">3.2. Рассмотрение вопросов на заседаниях Рабочей группы осуществляется коллегиально, на основе открытого их обсуждения </w:t>
      </w:r>
      <w:r>
        <w:rPr>
          <w:sz w:val="28"/>
        </w:rPr>
        <w:br/>
      </w:r>
      <w:r>
        <w:rPr>
          <w:sz w:val="28"/>
        </w:rPr>
        <w:t>и основывается на принципах объективности, достоверности, оперативности.</w:t>
      </w:r>
    </w:p>
    <w:p w14:paraId="61000000">
      <w:pPr>
        <w:widowControl w:val="1"/>
        <w:spacing w:after="0" w:line="240" w:lineRule="auto"/>
        <w:ind w:firstLine="720"/>
        <w:jc w:val="both"/>
        <w:rPr>
          <w:sz w:val="28"/>
        </w:rPr>
      </w:pPr>
      <w:r>
        <w:rPr>
          <w:sz w:val="28"/>
        </w:rPr>
        <w:t>3.3. Заседание Рабочей группы является правомочным, если на нем присутствует более половины от установленного числа членов Рабочей группы.</w:t>
      </w:r>
    </w:p>
    <w:p w14:paraId="62000000">
      <w:pPr>
        <w:widowControl w:val="1"/>
        <w:spacing w:after="0" w:line="240" w:lineRule="auto"/>
        <w:ind w:firstLine="720"/>
        <w:jc w:val="both"/>
        <w:rPr>
          <w:sz w:val="28"/>
        </w:rPr>
      </w:pPr>
      <w:r>
        <w:rPr>
          <w:sz w:val="28"/>
        </w:rPr>
        <w:t>3.4.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14:paraId="63000000">
      <w:pPr>
        <w:widowControl w:val="1"/>
        <w:spacing w:after="0" w:line="240" w:lineRule="auto"/>
        <w:ind w:firstLine="720"/>
        <w:jc w:val="both"/>
        <w:rPr>
          <w:sz w:val="28"/>
        </w:rPr>
      </w:pPr>
      <w:r>
        <w:rPr>
          <w:sz w:val="28"/>
        </w:rPr>
        <w:t xml:space="preserve">3.5. Члены Рабочей группы вправе высказывать мнения, задавать вопросы, касающиеся предмета рассмотрения, вносить предложения </w:t>
      </w:r>
      <w:r>
        <w:rPr>
          <w:sz w:val="28"/>
        </w:rPr>
        <w:br/>
      </w:r>
      <w:r>
        <w:rPr>
          <w:sz w:val="28"/>
        </w:rPr>
        <w:t>по вопросам, отнесенным к компетенции Рабочей группы, предлагать проведение по ним голосования.</w:t>
      </w:r>
    </w:p>
    <w:p w14:paraId="64000000">
      <w:pPr>
        <w:widowControl w:val="1"/>
        <w:spacing w:after="0" w:line="240" w:lineRule="auto"/>
        <w:ind w:firstLine="720"/>
        <w:jc w:val="both"/>
        <w:rPr>
          <w:sz w:val="28"/>
        </w:rPr>
      </w:pPr>
      <w:r>
        <w:rPr>
          <w:sz w:val="28"/>
        </w:rPr>
        <w:t xml:space="preserve">3.6. В случае необходимости руководитель Рабочей группы приглашает на заседание специалистов или экспертов для дачи пояснений и заключений </w:t>
      </w:r>
      <w:r>
        <w:rPr>
          <w:sz w:val="28"/>
        </w:rPr>
        <w:br/>
      </w:r>
      <w:r>
        <w:rPr>
          <w:sz w:val="28"/>
        </w:rPr>
        <w:t>по вопросам, возникающим в процессе рассмотрения вопроса.</w:t>
      </w:r>
    </w:p>
    <w:p w14:paraId="65000000">
      <w:pPr>
        <w:widowControl w:val="1"/>
        <w:spacing w:after="0" w:line="240" w:lineRule="auto"/>
        <w:ind w:firstLine="720"/>
        <w:jc w:val="both"/>
        <w:rPr>
          <w:sz w:val="28"/>
        </w:rPr>
      </w:pPr>
      <w:r>
        <w:rPr>
          <w:sz w:val="28"/>
        </w:rPr>
        <w:t xml:space="preserve">Мнения специалистов и экспертов принимаются Рабочей группой </w:t>
      </w:r>
      <w:r>
        <w:rPr>
          <w:sz w:val="28"/>
        </w:rPr>
        <w:br/>
      </w:r>
      <w:r>
        <w:rPr>
          <w:sz w:val="28"/>
        </w:rPr>
        <w:t>к сведению, но не являются обязательными для вынесения окончательного решения.</w:t>
      </w:r>
    </w:p>
    <w:p w14:paraId="66000000">
      <w:pPr>
        <w:widowControl w:val="1"/>
        <w:spacing w:after="0" w:line="240" w:lineRule="auto"/>
        <w:ind w:firstLine="720"/>
        <w:jc w:val="both"/>
        <w:rPr>
          <w:sz w:val="28"/>
        </w:rPr>
      </w:pPr>
      <w:r>
        <w:rPr>
          <w:sz w:val="28"/>
        </w:rPr>
        <w:t xml:space="preserve">3.7. В заседании Рабочей группы вправе принимать участие заявители, лица, чьи (чье) действия (бездействие) явились (явилось) основанием </w:t>
      </w:r>
      <w:r>
        <w:rPr>
          <w:sz w:val="28"/>
        </w:rPr>
        <w:br/>
      </w:r>
      <w:r>
        <w:rPr>
          <w:sz w:val="28"/>
        </w:rPr>
        <w:t xml:space="preserve">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w:t>
      </w:r>
      <w:r>
        <w:rPr>
          <w:sz w:val="28"/>
        </w:rPr>
        <w:t xml:space="preserve">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Pr>
          <w:sz w:val="28"/>
        </w:rPr>
        <w:br/>
      </w:r>
      <w:r>
        <w:rPr>
          <w:sz w:val="28"/>
        </w:rPr>
        <w:t>и подписывается руководителем Рабочей группы либо его заместителем накануне очередного заседания.</w:t>
      </w:r>
    </w:p>
    <w:p w14:paraId="67000000">
      <w:pPr>
        <w:widowControl w:val="1"/>
        <w:spacing w:after="0" w:line="240" w:lineRule="auto"/>
        <w:ind w:firstLine="720"/>
        <w:jc w:val="both"/>
        <w:rPr>
          <w:sz w:val="28"/>
        </w:rPr>
      </w:pPr>
      <w:r>
        <w:rPr>
          <w:sz w:val="28"/>
        </w:rPr>
        <w:t xml:space="preserve">3.8. Руководитель Рабочей группы дает поручения, касающиеся подготовки материалов к заседанию Рабочей группы, оповещения ее членов </w:t>
      </w:r>
      <w:r>
        <w:rPr>
          <w:sz w:val="28"/>
        </w:rPr>
        <w:br/>
      </w:r>
      <w:r>
        <w:rPr>
          <w:sz w:val="28"/>
        </w:rPr>
        <w:t xml:space="preserve">и приглашенных лиц о времени и месте заседания Рабочей группы, организует делопроизводство в Рабочей группе, председательствует </w:t>
      </w:r>
      <w:r>
        <w:rPr>
          <w:sz w:val="28"/>
        </w:rPr>
        <w:br/>
      </w:r>
      <w:r>
        <w:rPr>
          <w:sz w:val="28"/>
        </w:rPr>
        <w:t>на ее заседаниях. В случае отсутствия руководителя Рабочей группы его обязанности исполняет заместитель руководителя Рабочей группы.</w:t>
      </w:r>
    </w:p>
    <w:p w14:paraId="68000000">
      <w:pPr>
        <w:widowControl w:val="1"/>
        <w:spacing w:after="0" w:line="240" w:lineRule="auto"/>
        <w:ind w:firstLine="720"/>
        <w:jc w:val="both"/>
        <w:rPr>
          <w:sz w:val="28"/>
        </w:rPr>
      </w:pPr>
      <w:r>
        <w:rPr>
          <w:sz w:val="28"/>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Pr>
          <w:sz w:val="28"/>
        </w:rPr>
        <w:br/>
      </w:r>
      <w:r>
        <w:rPr>
          <w:sz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69000000">
      <w:pPr>
        <w:widowControl w:val="1"/>
        <w:spacing w:after="0" w:line="240" w:lineRule="auto"/>
        <w:ind w:firstLine="720"/>
        <w:jc w:val="both"/>
        <w:rPr>
          <w:sz w:val="28"/>
        </w:rPr>
      </w:pPr>
      <w:r>
        <w:rPr>
          <w:sz w:val="28"/>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14:paraId="6A000000">
      <w:pPr>
        <w:widowControl w:val="1"/>
        <w:spacing w:after="0" w:line="240" w:lineRule="auto"/>
        <w:ind w:firstLine="720"/>
        <w:jc w:val="both"/>
        <w:rPr>
          <w:sz w:val="28"/>
        </w:rPr>
      </w:pPr>
      <w:r>
        <w:rPr>
          <w:sz w:val="28"/>
        </w:rPr>
        <w:t xml:space="preserve">Подготовка к заседаниям Рабочей группы ведется в соответствии </w:t>
      </w:r>
      <w:r>
        <w:rPr>
          <w:sz w:val="28"/>
        </w:rPr>
        <w:br/>
      </w:r>
      <w:r>
        <w:rPr>
          <w:sz w:val="28"/>
        </w:rP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Pr>
          <w:sz w:val="28"/>
        </w:rPr>
        <w:br/>
      </w:r>
      <w:r>
        <w:rPr>
          <w:sz w:val="28"/>
        </w:rPr>
        <w:t>по рассматриваемому вопросу, а в необходимых случаях – заключения специалистов.</w:t>
      </w:r>
    </w:p>
    <w:p w14:paraId="6B000000">
      <w:pPr>
        <w:widowControl w:val="1"/>
        <w:spacing w:after="0" w:line="240" w:lineRule="auto"/>
        <w:ind w:firstLine="720"/>
        <w:jc w:val="both"/>
        <w:rPr>
          <w:sz w:val="28"/>
        </w:rPr>
      </w:pPr>
      <w:r>
        <w:rPr>
          <w:sz w:val="28"/>
        </w:rPr>
        <w:t>3.11. Срок рассмотрения обращений, поступающих в Рабочую группу, определяется в соответствии с законодательством о выборах.</w:t>
      </w:r>
    </w:p>
    <w:p w14:paraId="6C000000">
      <w:pPr>
        <w:widowControl w:val="1"/>
        <w:spacing w:after="0" w:line="240" w:lineRule="auto"/>
        <w:ind w:firstLine="720"/>
        <w:jc w:val="both"/>
        <w:rPr>
          <w:sz w:val="28"/>
        </w:rPr>
      </w:pPr>
      <w:r>
        <w:rPr>
          <w:sz w:val="28"/>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Pr>
          <w:sz w:val="28"/>
        </w:rPr>
        <w:br/>
      </w:r>
      <w:r>
        <w:rPr>
          <w:sz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sz w:val="28"/>
        </w:rPr>
        <w:br/>
      </w:r>
      <w:r>
        <w:rPr>
          <w:sz w:val="28"/>
        </w:rPr>
        <w:t xml:space="preserve">по внесенным предложениям, а также итоговое решение Рабочей группы </w:t>
      </w:r>
      <w:r>
        <w:rPr>
          <w:sz w:val="28"/>
        </w:rPr>
        <w:br/>
      </w:r>
      <w:r>
        <w:rPr>
          <w:sz w:val="28"/>
        </w:rPr>
        <w:t>и результаты голосования по этому решению. Протокол подписывают председательствующий на заседании Рабочей группы и секретарь заседания.</w:t>
      </w:r>
    </w:p>
    <w:p w14:paraId="6D000000">
      <w:pPr>
        <w:widowControl w:val="1"/>
        <w:spacing w:after="0" w:line="240" w:lineRule="auto"/>
        <w:ind w:firstLine="720"/>
        <w:jc w:val="both"/>
        <w:rPr>
          <w:sz w:val="28"/>
        </w:rPr>
      </w:pPr>
      <w:r>
        <w:rPr>
          <w:sz w:val="28"/>
        </w:rPr>
        <w:t xml:space="preserve">3.13. По результатам рассмотрения обращений (иных вопросов) </w:t>
      </w:r>
      <w:r>
        <w:rPr>
          <w:sz w:val="28"/>
        </w:rPr>
        <w:br/>
      </w:r>
      <w:r>
        <w:rPr>
          <w:sz w:val="28"/>
        </w:rPr>
        <w:t>на заседании Рабочей группы принимается соответствующее решение Рабочей группы (о направлении ответа заявителю, об обращении</w:t>
      </w:r>
      <w:r>
        <w:rPr>
          <w:rFonts w:ascii="Calibri" w:hAnsi="Calibri"/>
          <w:sz w:val="22"/>
        </w:rPr>
        <w:t xml:space="preserve"> </w:t>
      </w:r>
      <w:r>
        <w:rPr>
          <w:rFonts w:ascii="Calibri" w:hAnsi="Calibri"/>
          <w:sz w:val="22"/>
        </w:rPr>
        <w:br/>
      </w:r>
      <w:r>
        <w:rPr>
          <w:sz w:val="28"/>
        </w:rPr>
        <w:t xml:space="preserve">в правоохранительные органы, суд, федеральный орган по контролю </w:t>
      </w:r>
      <w:r>
        <w:rPr>
          <w:sz w:val="28"/>
        </w:rPr>
        <w:br/>
      </w:r>
      <w:r>
        <w:rPr>
          <w:sz w:val="28"/>
        </w:rP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w:t>
      </w:r>
      <w:r>
        <w:rPr>
          <w:sz w:val="28"/>
        </w:rPr>
        <w:br/>
      </w:r>
      <w:r>
        <w:rPr>
          <w:sz w:val="28"/>
        </w:rPr>
        <w:t xml:space="preserve">их должностных лиц, а также иных лиц к ответственности в соответствии </w:t>
      </w:r>
      <w:r>
        <w:rPr>
          <w:sz w:val="28"/>
        </w:rPr>
        <w:br/>
      </w:r>
      <w:r>
        <w:rPr>
          <w:sz w:val="28"/>
        </w:rP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14:paraId="6E000000">
      <w:pPr>
        <w:widowControl w:val="1"/>
        <w:spacing w:after="0" w:line="240" w:lineRule="auto"/>
        <w:ind w:firstLine="720"/>
        <w:jc w:val="both"/>
        <w:rPr>
          <w:sz w:val="28"/>
        </w:rPr>
      </w:pPr>
      <w:r>
        <w:rPr>
          <w:sz w:val="28"/>
        </w:rPr>
        <w:t xml:space="preserve">3.14. Решение Рабочей группы принимается большинством голосов </w:t>
      </w:r>
      <w:r>
        <w:rPr>
          <w:sz w:val="28"/>
        </w:rPr>
        <w:br/>
      </w:r>
      <w:r>
        <w:rPr>
          <w:sz w:val="28"/>
        </w:rP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14:paraId="6F000000">
      <w:pPr>
        <w:widowControl w:val="1"/>
        <w:spacing w:after="0" w:line="240" w:lineRule="auto"/>
        <w:ind w:firstLine="720"/>
        <w:jc w:val="both"/>
        <w:rPr>
          <w:sz w:val="28"/>
        </w:rPr>
      </w:pPr>
      <w:r>
        <w:rPr>
          <w:sz w:val="28"/>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14:paraId="70000000">
      <w:pPr>
        <w:widowControl w:val="1"/>
        <w:spacing w:after="0" w:line="240" w:lineRule="auto"/>
        <w:ind w:firstLine="720"/>
        <w:jc w:val="both"/>
        <w:rPr>
          <w:sz w:val="28"/>
        </w:rPr>
      </w:pPr>
      <w:r>
        <w:rPr>
          <w:sz w:val="28"/>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14:paraId="71000000">
      <w:pPr>
        <w:widowControl w:val="1"/>
        <w:spacing w:after="0"/>
        <w:ind/>
        <w:jc w:val="center"/>
        <w:rPr>
          <w:sz w:val="28"/>
        </w:rPr>
      </w:pPr>
    </w:p>
    <w:p w14:paraId="72000000">
      <w:pPr>
        <w:widowControl w:val="1"/>
        <w:spacing w:after="0"/>
        <w:ind/>
        <w:jc w:val="center"/>
        <w:rPr>
          <w:sz w:val="28"/>
        </w:rPr>
      </w:pPr>
    </w:p>
    <w:p w14:paraId="73000000">
      <w:pPr>
        <w:widowControl w:val="1"/>
        <w:spacing w:after="0"/>
        <w:ind/>
        <w:jc w:val="center"/>
        <w:rPr>
          <w:sz w:val="28"/>
        </w:rPr>
      </w:pPr>
    </w:p>
    <w:p w14:paraId="74000000">
      <w:pPr>
        <w:widowControl w:val="1"/>
        <w:spacing w:after="0"/>
        <w:ind/>
        <w:jc w:val="center"/>
        <w:rPr>
          <w:sz w:val="28"/>
        </w:rPr>
      </w:pPr>
    </w:p>
    <w:p w14:paraId="75000000">
      <w:pPr>
        <w:widowControl w:val="1"/>
        <w:spacing w:after="0"/>
        <w:ind/>
        <w:jc w:val="center"/>
        <w:rPr>
          <w:sz w:val="28"/>
        </w:rPr>
      </w:pPr>
    </w:p>
    <w:p w14:paraId="76000000">
      <w:pPr>
        <w:widowControl w:val="1"/>
        <w:spacing w:after="0"/>
        <w:ind/>
        <w:jc w:val="center"/>
        <w:rPr>
          <w:sz w:val="28"/>
        </w:rPr>
      </w:pPr>
    </w:p>
    <w:p w14:paraId="77000000">
      <w:pPr>
        <w:widowControl w:val="1"/>
        <w:spacing w:after="0"/>
        <w:ind/>
        <w:jc w:val="center"/>
        <w:rPr>
          <w:sz w:val="28"/>
        </w:rPr>
      </w:pPr>
    </w:p>
    <w:p w14:paraId="78000000">
      <w:pPr>
        <w:widowControl w:val="1"/>
        <w:spacing w:after="0"/>
        <w:ind/>
        <w:jc w:val="center"/>
        <w:rPr>
          <w:sz w:val="28"/>
        </w:rPr>
      </w:pPr>
    </w:p>
    <w:p w14:paraId="79000000">
      <w:pPr>
        <w:widowControl w:val="1"/>
        <w:spacing w:after="0"/>
        <w:ind/>
        <w:jc w:val="center"/>
        <w:rPr>
          <w:sz w:val="28"/>
        </w:rPr>
      </w:pPr>
    </w:p>
    <w:p w14:paraId="7A000000">
      <w:pPr>
        <w:widowControl w:val="1"/>
        <w:spacing w:after="0"/>
        <w:ind/>
        <w:jc w:val="center"/>
        <w:rPr>
          <w:sz w:val="28"/>
        </w:rPr>
      </w:pPr>
    </w:p>
    <w:p w14:paraId="7B000000">
      <w:pPr>
        <w:widowControl w:val="1"/>
        <w:spacing w:after="0" w:line="240" w:lineRule="auto"/>
        <w:ind w:left="6243"/>
        <w:jc w:val="center"/>
      </w:pPr>
    </w:p>
    <w:p w14:paraId="7C000000">
      <w:pPr>
        <w:widowControl w:val="1"/>
        <w:spacing w:after="0" w:line="240" w:lineRule="auto"/>
        <w:ind w:left="6243"/>
        <w:jc w:val="center"/>
      </w:pPr>
    </w:p>
    <w:p w14:paraId="7D000000">
      <w:pPr>
        <w:widowControl w:val="1"/>
        <w:spacing w:after="0" w:line="240" w:lineRule="auto"/>
        <w:ind w:left="6243"/>
        <w:jc w:val="center"/>
      </w:pPr>
    </w:p>
    <w:p w14:paraId="7E000000">
      <w:pPr>
        <w:widowControl w:val="1"/>
        <w:spacing w:after="0" w:line="240" w:lineRule="auto"/>
        <w:ind w:left="6243"/>
        <w:jc w:val="center"/>
      </w:pPr>
    </w:p>
    <w:p w14:paraId="7F000000">
      <w:pPr>
        <w:widowControl w:val="1"/>
        <w:spacing w:after="0" w:line="240" w:lineRule="auto"/>
        <w:ind w:left="6243"/>
        <w:jc w:val="center"/>
      </w:pPr>
    </w:p>
    <w:p w14:paraId="80000000">
      <w:pPr>
        <w:widowControl w:val="1"/>
        <w:spacing w:after="0" w:line="240" w:lineRule="auto"/>
        <w:ind w:left="6243"/>
        <w:jc w:val="center"/>
      </w:pPr>
    </w:p>
    <w:p w14:paraId="81000000">
      <w:pPr>
        <w:widowControl w:val="1"/>
        <w:spacing w:after="0" w:line="240" w:lineRule="auto"/>
        <w:ind w:left="6243"/>
        <w:jc w:val="center"/>
      </w:pPr>
    </w:p>
    <w:p w14:paraId="82000000">
      <w:pPr>
        <w:widowControl w:val="1"/>
        <w:spacing w:after="0" w:line="240" w:lineRule="auto"/>
        <w:ind w:left="6243"/>
        <w:jc w:val="center"/>
      </w:pPr>
    </w:p>
    <w:p w14:paraId="83000000">
      <w:pPr>
        <w:widowControl w:val="1"/>
        <w:spacing w:after="0" w:line="240" w:lineRule="auto"/>
        <w:ind w:left="6243"/>
        <w:jc w:val="center"/>
      </w:pPr>
    </w:p>
    <w:p w14:paraId="84000000">
      <w:pPr>
        <w:widowControl w:val="1"/>
        <w:spacing w:after="0" w:line="240" w:lineRule="auto"/>
        <w:ind w:left="6243"/>
        <w:jc w:val="center"/>
      </w:pPr>
    </w:p>
    <w:p w14:paraId="85000000">
      <w:pPr>
        <w:widowControl w:val="1"/>
        <w:spacing w:after="0" w:line="240" w:lineRule="auto"/>
        <w:ind w:left="6243"/>
        <w:jc w:val="center"/>
      </w:pPr>
    </w:p>
    <w:p w14:paraId="86000000">
      <w:pPr>
        <w:widowControl w:val="1"/>
        <w:spacing w:after="0" w:line="240" w:lineRule="auto"/>
        <w:ind w:left="6243"/>
        <w:jc w:val="center"/>
      </w:pPr>
    </w:p>
    <w:p w14:paraId="87000000">
      <w:pPr>
        <w:widowControl w:val="1"/>
        <w:spacing w:after="0" w:line="240" w:lineRule="auto"/>
        <w:ind w:left="6243"/>
        <w:jc w:val="center"/>
      </w:pPr>
    </w:p>
    <w:p w14:paraId="88000000">
      <w:pPr>
        <w:widowControl w:val="1"/>
        <w:spacing w:after="0" w:line="240" w:lineRule="auto"/>
        <w:ind w:left="6243"/>
        <w:jc w:val="center"/>
      </w:pPr>
      <w:r>
        <w:t>Приложение</w:t>
      </w:r>
      <w:r>
        <w:t xml:space="preserve"> № 2</w:t>
      </w:r>
    </w:p>
    <w:p w14:paraId="89000000">
      <w:pPr>
        <w:widowControl w:val="1"/>
        <w:spacing w:after="0" w:line="240" w:lineRule="auto"/>
        <w:ind w:left="6243"/>
        <w:jc w:val="center"/>
        <w:rPr>
          <w:sz w:val="28"/>
        </w:rPr>
      </w:pPr>
      <w:r>
        <w:t xml:space="preserve">к постановлению Территориальной избирательной комиссии </w:t>
      </w:r>
      <w:r>
        <w:rPr>
          <w:sz w:val="28"/>
        </w:rPr>
        <w:t xml:space="preserve"> </w:t>
      </w:r>
      <w:r>
        <w:rPr>
          <w:sz w:val="24"/>
        </w:rPr>
        <w:t xml:space="preserve">города Таганрога (восточная) Ростовской области </w:t>
      </w:r>
    </w:p>
    <w:p w14:paraId="8A000000">
      <w:pPr>
        <w:widowControl w:val="1"/>
        <w:spacing w:after="0" w:line="240" w:lineRule="auto"/>
        <w:ind w:left="6243"/>
        <w:jc w:val="center"/>
      </w:pPr>
    </w:p>
    <w:p w14:paraId="8B000000">
      <w:pPr>
        <w:widowControl w:val="1"/>
        <w:spacing w:after="0" w:line="240" w:lineRule="auto"/>
        <w:ind w:left="6243" w:right="175"/>
        <w:jc w:val="center"/>
      </w:pPr>
      <w:r>
        <w:t>от 01</w:t>
      </w:r>
      <w:r>
        <w:t>.0</w:t>
      </w:r>
      <w:r>
        <w:t>7</w:t>
      </w:r>
      <w:r>
        <w:t>.202</w:t>
      </w:r>
      <w:r>
        <w:t>6</w:t>
      </w:r>
      <w:r>
        <w:t xml:space="preserve">  №4-11</w:t>
      </w:r>
    </w:p>
    <w:p w14:paraId="8C000000">
      <w:pPr>
        <w:pStyle w:val="Style_4"/>
        <w:widowControl w:val="1"/>
        <w:spacing w:before="0" w:line="240" w:lineRule="auto"/>
        <w:ind/>
        <w:jc w:val="center"/>
        <w:rPr>
          <w:rFonts w:ascii="Times New Roman" w:hAnsi="Times New Roman"/>
          <w:color w:val="000000"/>
        </w:rPr>
      </w:pPr>
    </w:p>
    <w:p w14:paraId="8D000000">
      <w:pPr>
        <w:pStyle w:val="Style_4"/>
        <w:widowControl w:val="1"/>
        <w:spacing w:before="0" w:line="240" w:lineRule="auto"/>
        <w:ind/>
        <w:jc w:val="center"/>
        <w:rPr>
          <w:rFonts w:ascii="Times New Roman" w:hAnsi="Times New Roman"/>
          <w:color w:val="000000"/>
        </w:rPr>
      </w:pPr>
      <w:r>
        <w:rPr>
          <w:rFonts w:ascii="Times New Roman" w:hAnsi="Times New Roman"/>
          <w:color w:val="000000"/>
        </w:rPr>
        <w:t>С</w:t>
      </w:r>
      <w:r>
        <w:rPr>
          <w:rFonts w:ascii="Times New Roman" w:hAnsi="Times New Roman"/>
          <w:color w:val="000000"/>
        </w:rPr>
        <w:t>ОСТАВ</w:t>
      </w:r>
    </w:p>
    <w:tbl>
      <w:tblPr>
        <w:tblStyle w:val="Style_5"/>
        <w:tblW w:type="auto" w:w="0"/>
        <w:tblInd w:type="dxa" w:w="817"/>
        <w:tblBorders>
          <w:top w:color="000000" w:val="nil"/>
          <w:left w:color="000000" w:val="nil"/>
          <w:bottom w:color="000000" w:val="nil"/>
          <w:right w:color="000000" w:val="nil"/>
          <w:insideH w:color="000000" w:val="nil"/>
          <w:insideV w:color="000000" w:val="nil"/>
        </w:tblBorders>
        <w:tblLayout w:type="fixed"/>
      </w:tblPr>
      <w:tblGrid>
        <w:gridCol w:w="8505"/>
      </w:tblGrid>
      <w:tr>
        <w:tc>
          <w:tcPr>
            <w:tcW w:type="dxa" w:w="8505"/>
            <w:tcBorders>
              <w:top w:color="000000" w:val="nil"/>
              <w:left w:color="000000" w:val="nil"/>
              <w:bottom w:color="000000" w:val="nil"/>
              <w:right w:color="000000" w:val="nil"/>
            </w:tcBorders>
          </w:tcPr>
          <w:p w14:paraId="8E000000">
            <w:pPr>
              <w:pStyle w:val="Style_2"/>
              <w:widowControl w:val="1"/>
              <w:ind/>
              <w:jc w:val="both"/>
              <w:rPr>
                <w:b w:val="1"/>
                <w:sz w:val="28"/>
              </w:rPr>
            </w:pPr>
            <w:r>
              <w:rPr>
                <w:b w:val="1"/>
                <w:sz w:val="28"/>
              </w:rPr>
              <w:t>Рабочей групп</w:t>
            </w:r>
            <w:r>
              <w:rPr>
                <w:b w:val="1"/>
                <w:sz w:val="28"/>
              </w:rPr>
              <w:t>ы</w:t>
            </w:r>
            <w:r>
              <w:rPr>
                <w:b w:val="1"/>
                <w:sz w:val="28"/>
              </w:rPr>
              <w:t xml:space="preserve"> </w:t>
            </w:r>
            <w:r>
              <w:rPr>
                <w:b w:val="1"/>
                <w:sz w:val="28"/>
              </w:rPr>
              <w:t xml:space="preserve">при Территориальной избирательной комиссии города Таганрога (восточная) Ростовской области по контролю </w:t>
            </w:r>
            <w:r>
              <w:rPr>
                <w:b w:val="1"/>
                <w:sz w:val="28"/>
              </w:rPr>
              <w:br/>
            </w:r>
            <w:r>
              <w:rPr>
                <w:b w:val="1"/>
                <w:sz w:val="28"/>
              </w:rPr>
              <w:t>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w:t>
            </w:r>
          </w:p>
          <w:p w14:paraId="8F000000"/>
        </w:tc>
      </w:tr>
    </w:tbl>
    <w:p w14:paraId="90000000">
      <w:pPr>
        <w:widowControl w:val="1"/>
        <w:spacing w:after="0" w:line="240" w:lineRule="auto"/>
        <w:ind/>
        <w:jc w:val="center"/>
        <w:rPr>
          <w:b w:val="1"/>
          <w:sz w:val="28"/>
        </w:rPr>
      </w:pPr>
    </w:p>
    <w:p w14:paraId="91000000">
      <w:pPr>
        <w:widowControl w:val="1"/>
        <w:spacing w:after="0" w:line="240" w:lineRule="auto"/>
        <w:ind/>
        <w:jc w:val="center"/>
        <w:rPr>
          <w:b w:val="1"/>
          <w:sz w:val="28"/>
        </w:rPr>
      </w:pPr>
      <w:r>
        <w:rPr>
          <w:b w:val="1"/>
          <w:sz w:val="28"/>
        </w:rPr>
        <w:t>Руководитель Рабочей группы:</w:t>
      </w:r>
    </w:p>
    <w:tbl>
      <w:tblPr>
        <w:tblStyle w:val="Style_1"/>
        <w:tblW w:type="auto" w:w="0"/>
        <w:tblLayout w:type="fixed"/>
      </w:tblPr>
      <w:tblGrid>
        <w:gridCol w:w="3510"/>
        <w:gridCol w:w="6060"/>
      </w:tblGrid>
      <w:tr>
        <w:tc>
          <w:tcPr>
            <w:tcW w:type="dxa" w:w="3510"/>
            <w:shd w:fill="auto" w:val="clear"/>
          </w:tcPr>
          <w:p w14:paraId="92000000">
            <w:pPr>
              <w:widowControl w:val="1"/>
              <w:spacing w:after="0" w:line="240" w:lineRule="auto"/>
              <w:ind/>
              <w:jc w:val="both"/>
              <w:rPr>
                <w:b w:val="1"/>
                <w:sz w:val="28"/>
              </w:rPr>
            </w:pPr>
            <w:r>
              <w:rPr>
                <w:sz w:val="28"/>
              </w:rPr>
              <w:t xml:space="preserve">Индыкова </w:t>
            </w:r>
            <w:r>
              <w:rPr>
                <w:sz w:val="28"/>
              </w:rPr>
              <w:br/>
            </w:r>
            <w:r>
              <w:rPr>
                <w:sz w:val="28"/>
              </w:rPr>
              <w:t>Наталья Валентиновна</w:t>
            </w:r>
          </w:p>
        </w:tc>
        <w:tc>
          <w:tcPr>
            <w:tcW w:type="dxa" w:w="6060"/>
            <w:shd w:fill="auto" w:val="clear"/>
          </w:tcPr>
          <w:p w14:paraId="93000000">
            <w:pPr>
              <w:widowControl w:val="1"/>
              <w:spacing w:after="0" w:line="240" w:lineRule="auto"/>
              <w:ind/>
              <w:jc w:val="both"/>
              <w:rPr>
                <w:sz w:val="28"/>
              </w:rPr>
            </w:pPr>
            <w:r>
              <w:rPr>
                <w:sz w:val="28"/>
              </w:rPr>
              <w:t>– заместитель председателя Территориальной избирательной комиссии</w:t>
            </w:r>
            <w:r>
              <w:rPr>
                <w:sz w:val="28"/>
              </w:rPr>
              <w:t xml:space="preserve"> города Таганрога (восточная) Ростовской области </w:t>
            </w:r>
          </w:p>
          <w:p w14:paraId="94000000">
            <w:pPr>
              <w:widowControl w:val="1"/>
              <w:spacing w:after="0" w:line="240" w:lineRule="auto"/>
              <w:ind/>
              <w:jc w:val="both"/>
              <w:rPr>
                <w:sz w:val="28"/>
              </w:rPr>
            </w:pPr>
          </w:p>
        </w:tc>
      </w:tr>
    </w:tbl>
    <w:p w14:paraId="95000000">
      <w:pPr>
        <w:widowControl w:val="1"/>
        <w:spacing w:after="0" w:line="240" w:lineRule="auto"/>
        <w:ind/>
        <w:jc w:val="center"/>
        <w:rPr>
          <w:b w:val="1"/>
          <w:sz w:val="28"/>
        </w:rPr>
      </w:pPr>
    </w:p>
    <w:p w14:paraId="96000000">
      <w:pPr>
        <w:widowControl w:val="1"/>
        <w:spacing w:after="0" w:line="240" w:lineRule="auto"/>
        <w:ind/>
        <w:jc w:val="center"/>
        <w:rPr>
          <w:b w:val="1"/>
          <w:sz w:val="28"/>
        </w:rPr>
      </w:pPr>
      <w:r>
        <w:rPr>
          <w:b w:val="1"/>
          <w:sz w:val="28"/>
        </w:rPr>
        <w:t>Заместитель руководителя Рабочей группы:</w:t>
      </w:r>
    </w:p>
    <w:tbl>
      <w:tblPr>
        <w:tblStyle w:val="Style_1"/>
        <w:tblW w:type="auto" w:w="0"/>
        <w:tblLayout w:type="fixed"/>
      </w:tblPr>
      <w:tblGrid>
        <w:gridCol w:w="3510"/>
        <w:gridCol w:w="6061"/>
      </w:tblGrid>
      <w:tr>
        <w:tc>
          <w:tcPr>
            <w:tcW w:type="dxa" w:w="3510"/>
            <w:shd w:fill="auto" w:val="clear"/>
          </w:tcPr>
          <w:p w14:paraId="97000000">
            <w:pPr>
              <w:widowControl w:val="1"/>
              <w:spacing w:after="0" w:line="240" w:lineRule="auto"/>
              <w:ind/>
              <w:jc w:val="both"/>
              <w:rPr>
                <w:sz w:val="28"/>
              </w:rPr>
            </w:pPr>
          </w:p>
        </w:tc>
        <w:tc>
          <w:tcPr>
            <w:tcW w:type="dxa" w:w="6061"/>
            <w:shd w:fill="auto" w:val="clear"/>
          </w:tcPr>
          <w:p w14:paraId="98000000">
            <w:pPr>
              <w:widowControl w:val="1"/>
              <w:spacing w:after="0" w:line="240" w:lineRule="auto"/>
              <w:ind/>
              <w:jc w:val="both"/>
              <w:rPr>
                <w:sz w:val="28"/>
              </w:rPr>
            </w:pPr>
            <w:r>
              <w:rPr>
                <w:sz w:val="28"/>
              </w:rPr>
              <w:t>– член Территориальной избирательной комиссии</w:t>
            </w:r>
            <w:r>
              <w:rPr>
                <w:sz w:val="28"/>
              </w:rPr>
              <w:t xml:space="preserve"> города Таганрога (восточная) Ростовской области</w:t>
            </w:r>
            <w:r>
              <w:rPr>
                <w:sz w:val="28"/>
              </w:rPr>
              <w:t xml:space="preserve"> с правом решающего голоса</w:t>
            </w:r>
          </w:p>
        </w:tc>
      </w:tr>
    </w:tbl>
    <w:p w14:paraId="99000000">
      <w:pPr>
        <w:widowControl w:val="1"/>
        <w:spacing w:after="0" w:line="240" w:lineRule="auto"/>
        <w:ind/>
        <w:jc w:val="center"/>
        <w:rPr>
          <w:b w:val="1"/>
          <w:sz w:val="28"/>
        </w:rPr>
      </w:pPr>
    </w:p>
    <w:p w14:paraId="9A000000">
      <w:pPr>
        <w:widowControl w:val="1"/>
        <w:spacing w:after="0" w:line="240" w:lineRule="auto"/>
        <w:ind/>
        <w:jc w:val="center"/>
        <w:rPr>
          <w:b w:val="1"/>
          <w:sz w:val="28"/>
        </w:rPr>
      </w:pPr>
      <w:r>
        <w:rPr>
          <w:b w:val="1"/>
          <w:sz w:val="28"/>
        </w:rPr>
        <w:t>Члены Рабочей группы:</w:t>
      </w:r>
    </w:p>
    <w:tbl>
      <w:tblPr>
        <w:tblStyle w:val="Style_1"/>
        <w:tblW w:type="auto" w:w="0"/>
        <w:tblLayout w:type="fixed"/>
      </w:tblPr>
      <w:tblGrid>
        <w:gridCol w:w="3510"/>
        <w:gridCol w:w="6060"/>
      </w:tblGrid>
      <w:tr>
        <w:tc>
          <w:tcPr>
            <w:tcW w:type="dxa" w:w="3510"/>
            <w:shd w:fill="auto" w:val="clear"/>
            <w:tcMar>
              <w:bottom w:type="dxa" w:w="57"/>
            </w:tcMar>
            <w:vAlign w:val="center"/>
          </w:tcPr>
          <w:p w14:paraId="9B000000">
            <w:pPr>
              <w:widowControl w:val="1"/>
              <w:spacing w:after="0" w:line="240" w:lineRule="auto"/>
              <w:ind/>
              <w:rPr>
                <w:b w:val="1"/>
                <w:sz w:val="28"/>
              </w:rPr>
            </w:pPr>
          </w:p>
        </w:tc>
        <w:tc>
          <w:tcPr>
            <w:tcW w:type="dxa" w:w="6060"/>
            <w:shd w:fill="auto" w:val="clear"/>
            <w:tcMar>
              <w:bottom w:type="dxa" w:w="57"/>
            </w:tcMar>
          </w:tcPr>
          <w:p w14:paraId="9C000000">
            <w:pPr>
              <w:widowControl w:val="1"/>
              <w:spacing w:after="0" w:line="240" w:lineRule="auto"/>
              <w:ind/>
              <w:jc w:val="both"/>
              <w:rPr>
                <w:sz w:val="28"/>
              </w:rPr>
            </w:pPr>
            <w:r>
              <w:rPr>
                <w:sz w:val="28"/>
              </w:rPr>
              <w:t>– член Территориальной избирательной комиссии</w:t>
            </w:r>
            <w:r>
              <w:rPr>
                <w:sz w:val="28"/>
              </w:rPr>
              <w:t xml:space="preserve"> города Таганрога (восточная) Ростовской области</w:t>
            </w:r>
            <w:r>
              <w:rPr>
                <w:sz w:val="28"/>
              </w:rPr>
              <w:t xml:space="preserve"> с правом решающего голоса</w:t>
            </w:r>
          </w:p>
        </w:tc>
      </w:tr>
      <w:tr>
        <w:tc>
          <w:tcPr>
            <w:tcW w:type="dxa" w:w="3510"/>
            <w:shd w:fill="auto" w:val="clear"/>
            <w:tcMar>
              <w:bottom w:type="dxa" w:w="57"/>
            </w:tcMar>
            <w:vAlign w:val="center"/>
          </w:tcPr>
          <w:p w14:paraId="9D000000">
            <w:pPr>
              <w:widowControl w:val="1"/>
              <w:spacing w:after="0" w:line="240" w:lineRule="auto"/>
              <w:ind/>
              <w:rPr>
                <w:sz w:val="28"/>
              </w:rPr>
            </w:pPr>
            <w:r>
              <w:rPr>
                <w:sz w:val="28"/>
              </w:rPr>
              <w:t xml:space="preserve">Доценко </w:t>
            </w:r>
            <w:r>
              <w:rPr>
                <w:sz w:val="28"/>
              </w:rPr>
              <w:br/>
            </w:r>
            <w:r>
              <w:rPr>
                <w:sz w:val="28"/>
              </w:rPr>
              <w:t>Олег Петрович</w:t>
            </w:r>
          </w:p>
        </w:tc>
        <w:tc>
          <w:tcPr>
            <w:tcW w:type="dxa" w:w="6060"/>
            <w:shd w:fill="auto" w:val="clear"/>
            <w:tcMar>
              <w:bottom w:type="dxa" w:w="57"/>
            </w:tcMar>
          </w:tcPr>
          <w:p w14:paraId="9E000000">
            <w:pPr>
              <w:widowControl w:val="1"/>
              <w:spacing w:after="0" w:line="240" w:lineRule="auto"/>
              <w:ind/>
              <w:jc w:val="both"/>
              <w:rPr>
                <w:sz w:val="28"/>
              </w:rPr>
            </w:pPr>
            <w:r>
              <w:rPr>
                <w:sz w:val="28"/>
              </w:rPr>
              <w:t>– </w:t>
            </w:r>
            <w:r>
              <w:rPr>
                <w:sz w:val="28"/>
              </w:rPr>
              <w:t>системный администратор территориал</w:t>
            </w:r>
            <w:r>
              <w:rPr>
                <w:sz w:val="28"/>
              </w:rPr>
              <w:t xml:space="preserve">ьного комплекса Государственной </w:t>
            </w:r>
            <w:r>
              <w:rPr>
                <w:sz w:val="28"/>
              </w:rPr>
              <w:t>автоматизированной системы Российской Федерации «Выборы»</w:t>
            </w:r>
          </w:p>
        </w:tc>
      </w:tr>
      <w:tr>
        <w:tc>
          <w:tcPr>
            <w:tcW w:type="dxa" w:w="3510"/>
            <w:tcMar>
              <w:bottom w:type="dxa" w:w="57"/>
            </w:tcMar>
            <w:vAlign w:val="center"/>
          </w:tcPr>
          <w:p w14:paraId="9F000000">
            <w:pPr>
              <w:keepNext w:val="1"/>
              <w:widowControl w:val="1"/>
              <w:tabs>
                <w:tab w:leader="none" w:pos="191" w:val="left"/>
                <w:tab w:leader="none" w:pos="386" w:val="left"/>
              </w:tabs>
              <w:spacing w:after="0" w:line="240" w:lineRule="auto"/>
              <w:ind w:left="34"/>
              <w:outlineLvl w:val="0"/>
              <w:rPr>
                <w:color w:val="000000"/>
                <w:sz w:val="16"/>
              </w:rPr>
            </w:pPr>
          </w:p>
        </w:tc>
        <w:tc>
          <w:tcPr>
            <w:tcW w:type="dxa" w:w="6060"/>
            <w:tcMar>
              <w:bottom w:type="dxa" w:w="57"/>
            </w:tcMar>
            <w:vAlign w:val="center"/>
          </w:tcPr>
          <w:p w14:paraId="A0000000">
            <w:pPr>
              <w:widowControl w:val="1"/>
              <w:spacing w:after="0" w:line="240" w:lineRule="auto"/>
              <w:ind/>
              <w:jc w:val="both"/>
              <w:rPr>
                <w:sz w:val="16"/>
              </w:rPr>
            </w:pPr>
          </w:p>
        </w:tc>
      </w:tr>
      <w:tr>
        <w:tc>
          <w:tcPr>
            <w:tcW w:type="dxa" w:w="3510"/>
            <w:tcMar>
              <w:bottom w:type="dxa" w:w="57"/>
            </w:tcMar>
            <w:vAlign w:val="center"/>
          </w:tcPr>
          <w:p w14:paraId="A1000000">
            <w:pPr>
              <w:keepNext w:val="1"/>
              <w:widowControl w:val="1"/>
              <w:tabs>
                <w:tab w:leader="none" w:pos="191" w:val="left"/>
                <w:tab w:leader="none" w:pos="386" w:val="left"/>
              </w:tabs>
              <w:spacing w:after="0" w:line="240" w:lineRule="auto"/>
              <w:ind w:left="34"/>
              <w:outlineLvl w:val="0"/>
              <w:rPr>
                <w:sz w:val="28"/>
              </w:rPr>
            </w:pPr>
            <w:r>
              <w:rPr>
                <w:color w:val="000000"/>
                <w:sz w:val="28"/>
              </w:rPr>
              <w:t>По согласованию</w:t>
            </w:r>
          </w:p>
        </w:tc>
        <w:tc>
          <w:tcPr>
            <w:tcW w:type="dxa" w:w="6060"/>
            <w:tcMar>
              <w:bottom w:type="dxa" w:w="57"/>
            </w:tcMar>
            <w:vAlign w:val="center"/>
          </w:tcPr>
          <w:p w14:paraId="A2000000">
            <w:pPr>
              <w:widowControl w:val="1"/>
              <w:spacing w:after="0" w:line="240" w:lineRule="auto"/>
              <w:ind/>
              <w:jc w:val="both"/>
              <w:rPr>
                <w:sz w:val="28"/>
              </w:rPr>
            </w:pPr>
            <w:r>
              <w:rPr>
                <w:sz w:val="28"/>
              </w:rPr>
              <w:t>с</w:t>
            </w:r>
            <w:r>
              <w:rPr>
                <w:sz w:val="28"/>
              </w:rPr>
              <w:t>пециалисты территориальных органов федеральных государственных и иных органов, организаций и учреждений</w:t>
            </w:r>
          </w:p>
        </w:tc>
      </w:tr>
    </w:tbl>
    <w:p w14:paraId="A3000000">
      <w:pPr>
        <w:widowControl w:val="1"/>
        <w:spacing w:after="0" w:line="240" w:lineRule="auto"/>
        <w:ind/>
        <w:jc w:val="center"/>
        <w:rPr>
          <w:b w:val="1"/>
          <w:sz w:val="28"/>
        </w:rPr>
      </w:pPr>
    </w:p>
    <w:p w14:paraId="A4000000">
      <w:pPr>
        <w:widowControl w:val="1"/>
        <w:spacing w:after="0" w:line="240" w:lineRule="auto"/>
        <w:ind/>
        <w:jc w:val="center"/>
        <w:rPr>
          <w:b w:val="1"/>
          <w:sz w:val="28"/>
        </w:rPr>
      </w:pPr>
    </w:p>
    <w:sectPr>
      <w:pgSz w:h="16838" w:orient="portrait" w:w="11906"/>
      <w:pgMar w:bottom="567" w:footer="709" w:gutter="0" w:header="709" w:left="1418" w:right="851" w:top="567"/>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360"/>
      </w:pPr>
    </w:lvl>
    <w:lvl w:ilvl="1">
      <w:start w:val="1"/>
      <w:numFmt w:val="lowerLetter"/>
      <w:lvlText w:val="%2."/>
      <w:lvlJc w:val="left"/>
      <w:pPr>
        <w:widowControl w:val="1"/>
        <w:ind w:hanging="360" w:left="1080"/>
      </w:pPr>
    </w:lvl>
    <w:lvl w:ilvl="2">
      <w:start w:val="1"/>
      <w:numFmt w:val="lowerRoman"/>
      <w:lvlText w:val="%3."/>
      <w:lvlJc w:val="right"/>
      <w:pPr>
        <w:widowControl w:val="1"/>
        <w:ind w:hanging="180" w:left="1800"/>
      </w:pPr>
    </w:lvl>
    <w:lvl w:ilvl="3">
      <w:start w:val="1"/>
      <w:numFmt w:val="decimal"/>
      <w:lvlText w:val="%4."/>
      <w:lvlJc w:val="left"/>
      <w:pPr>
        <w:widowControl w:val="1"/>
        <w:ind w:hanging="360" w:left="2520"/>
      </w:pPr>
    </w:lvl>
    <w:lvl w:ilvl="4">
      <w:start w:val="1"/>
      <w:numFmt w:val="lowerLetter"/>
      <w:lvlText w:val="%5."/>
      <w:lvlJc w:val="left"/>
      <w:pPr>
        <w:widowControl w:val="1"/>
        <w:ind w:hanging="360" w:left="3240"/>
      </w:pPr>
    </w:lvl>
    <w:lvl w:ilvl="5">
      <w:start w:val="1"/>
      <w:numFmt w:val="lowerRoman"/>
      <w:lvlText w:val="%6."/>
      <w:lvlJc w:val="right"/>
      <w:pPr>
        <w:widowControl w:val="1"/>
        <w:ind w:hanging="180" w:left="3960"/>
      </w:pPr>
    </w:lvl>
    <w:lvl w:ilvl="6">
      <w:start w:val="1"/>
      <w:numFmt w:val="decimal"/>
      <w:lvlText w:val="%7."/>
      <w:lvlJc w:val="left"/>
      <w:pPr>
        <w:widowControl w:val="1"/>
        <w:ind w:hanging="360" w:left="4680"/>
      </w:pPr>
    </w:lvl>
    <w:lvl w:ilvl="7">
      <w:start w:val="1"/>
      <w:numFmt w:val="lowerLetter"/>
      <w:lvlText w:val="%8."/>
      <w:lvlJc w:val="left"/>
      <w:pPr>
        <w:widowControl w:val="1"/>
        <w:ind w:hanging="360" w:left="5400"/>
      </w:pPr>
    </w:lvl>
    <w:lvl w:ilvl="8">
      <w:start w:val="1"/>
      <w:numFmt w:val="lowerRoman"/>
      <w:lvlText w:val="%9."/>
      <w:lvlJc w:val="right"/>
      <w:pPr>
        <w:widowControl w:val="1"/>
        <w:ind w:hanging="180" w:left="612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rPr>
      <w:rFonts w:ascii="Times New Roman" w:hAnsi="Times New Roman"/>
      <w:sz w:val="24"/>
    </w:rPr>
  </w:style>
  <w:style w:default="1" w:styleId="Style_6_ch" w:type="character">
    <w:name w:val="Normal"/>
    <w:link w:val="Style_6"/>
    <w:rPr>
      <w:rFonts w:ascii="Times New Roman" w:hAnsi="Times New Roman"/>
      <w:sz w:val="24"/>
    </w:rPr>
  </w:style>
  <w:style w:styleId="Style_7" w:type="paragraph">
    <w:name w:val="Body Text Indent"/>
    <w:basedOn w:val="Style_6"/>
    <w:link w:val="Style_7_ch"/>
    <w:pPr>
      <w:widowControl w:val="1"/>
      <w:spacing w:after="0" w:line="240" w:lineRule="auto"/>
      <w:ind w:firstLine="709"/>
      <w:jc w:val="both"/>
    </w:pPr>
    <w:rPr>
      <w:sz w:val="28"/>
    </w:rPr>
  </w:style>
  <w:style w:styleId="Style_7_ch" w:type="character">
    <w:name w:val="Body Text Indent"/>
    <w:basedOn w:val="Style_6_ch"/>
    <w:link w:val="Style_7"/>
    <w:rPr>
      <w:sz w:val="28"/>
    </w:rPr>
  </w:style>
  <w:style w:styleId="Style_8" w:type="paragraph">
    <w:name w:val="toc 2"/>
    <w:next w:val="Style_6"/>
    <w:link w:val="Style_8_ch"/>
    <w:uiPriority w:val="39"/>
    <w:pPr>
      <w:ind w:firstLine="0" w:left="200"/>
      <w:jc w:val="left"/>
    </w:pPr>
    <w:rPr>
      <w:rFonts w:ascii="XO Thames" w:hAnsi="XO Thames"/>
      <w:sz w:val="28"/>
    </w:rPr>
  </w:style>
  <w:style w:styleId="Style_8_ch" w:type="character">
    <w:name w:val="toc 2"/>
    <w:link w:val="Style_8"/>
    <w:rPr>
      <w:rFonts w:ascii="XO Thames" w:hAnsi="XO Thames"/>
      <w:sz w:val="28"/>
    </w:rPr>
  </w:style>
  <w:style w:styleId="Style_9" w:type="paragraph">
    <w:name w:val="toc 4"/>
    <w:next w:val="Style_6"/>
    <w:link w:val="Style_9_ch"/>
    <w:uiPriority w:val="39"/>
    <w:pPr>
      <w:ind w:firstLine="0" w:left="600"/>
      <w:jc w:val="left"/>
    </w:pPr>
    <w:rPr>
      <w:rFonts w:ascii="XO Thames" w:hAnsi="XO Thames"/>
      <w:sz w:val="28"/>
    </w:rPr>
  </w:style>
  <w:style w:styleId="Style_9_ch" w:type="character">
    <w:name w:val="toc 4"/>
    <w:link w:val="Style_9"/>
    <w:rPr>
      <w:rFonts w:ascii="XO Thames" w:hAnsi="XO Thames"/>
      <w:sz w:val="28"/>
    </w:rPr>
  </w:style>
  <w:style w:styleId="Style_10" w:type="paragraph">
    <w:name w:val="toc 6"/>
    <w:next w:val="Style_6"/>
    <w:link w:val="Style_10_ch"/>
    <w:uiPriority w:val="39"/>
    <w:pPr>
      <w:ind w:firstLine="0" w:left="1000"/>
      <w:jc w:val="left"/>
    </w:pPr>
    <w:rPr>
      <w:rFonts w:ascii="XO Thames" w:hAnsi="XO Thames"/>
      <w:sz w:val="28"/>
    </w:rPr>
  </w:style>
  <w:style w:styleId="Style_10_ch" w:type="character">
    <w:name w:val="toc 6"/>
    <w:link w:val="Style_10"/>
    <w:rPr>
      <w:rFonts w:ascii="XO Thames" w:hAnsi="XO Thames"/>
      <w:sz w:val="28"/>
    </w:rPr>
  </w:style>
  <w:style w:styleId="Style_11" w:type="paragraph">
    <w:name w:val="toc 7"/>
    <w:next w:val="Style_6"/>
    <w:link w:val="Style_11_ch"/>
    <w:uiPriority w:val="39"/>
    <w:pPr>
      <w:ind w:firstLine="0" w:left="1200"/>
      <w:jc w:val="left"/>
    </w:pPr>
    <w:rPr>
      <w:rFonts w:ascii="XO Thames" w:hAnsi="XO Thames"/>
      <w:sz w:val="28"/>
    </w:rPr>
  </w:style>
  <w:style w:styleId="Style_11_ch" w:type="character">
    <w:name w:val="toc 7"/>
    <w:link w:val="Style_11"/>
    <w:rPr>
      <w:rFonts w:ascii="XO Thames" w:hAnsi="XO Thames"/>
      <w:sz w:val="28"/>
    </w:rPr>
  </w:style>
  <w:style w:styleId="Style_12" w:type="paragraph">
    <w:name w:val="Endnote"/>
    <w:link w:val="Style_12_ch"/>
    <w:pPr>
      <w:ind w:firstLine="851" w:left="0"/>
      <w:jc w:val="both"/>
    </w:pPr>
    <w:rPr>
      <w:rFonts w:ascii="XO Thames" w:hAnsi="XO Thames"/>
      <w:sz w:val="22"/>
    </w:rPr>
  </w:style>
  <w:style w:styleId="Style_12_ch" w:type="character">
    <w:name w:val="Endnote"/>
    <w:link w:val="Style_12"/>
    <w:rPr>
      <w:rFonts w:ascii="XO Thames" w:hAnsi="XO Thames"/>
      <w:sz w:val="22"/>
    </w:rPr>
  </w:style>
  <w:style w:styleId="Style_13" w:type="paragraph">
    <w:name w:val="heading 3"/>
    <w:basedOn w:val="Style_6"/>
    <w:next w:val="Style_6"/>
    <w:link w:val="Style_13_ch"/>
    <w:uiPriority w:val="9"/>
    <w:qFormat/>
    <w:pPr>
      <w:keepNext w:val="1"/>
      <w:widowControl w:val="1"/>
      <w:spacing w:after="0" w:line="240" w:lineRule="auto"/>
      <w:ind w:firstLine="1134"/>
      <w:jc w:val="center"/>
      <w:outlineLvl w:val="2"/>
    </w:pPr>
    <w:rPr>
      <w:b w:val="1"/>
      <w:sz w:val="26"/>
    </w:rPr>
  </w:style>
  <w:style w:styleId="Style_13_ch" w:type="character">
    <w:name w:val="heading 3"/>
    <w:basedOn w:val="Style_6_ch"/>
    <w:link w:val="Style_13"/>
    <w:rPr>
      <w:b w:val="1"/>
      <w:sz w:val="26"/>
    </w:rPr>
  </w:style>
  <w:style w:styleId="Style_14" w:type="paragraph">
    <w:name w:val="Рабочий"/>
    <w:basedOn w:val="Style_6"/>
    <w:link w:val="Style_14_ch"/>
    <w:pPr>
      <w:widowControl w:val="1"/>
      <w:spacing w:after="0" w:line="360" w:lineRule="auto"/>
      <w:ind w:firstLine="709"/>
      <w:jc w:val="both"/>
    </w:pPr>
  </w:style>
  <w:style w:styleId="Style_14_ch" w:type="character">
    <w:name w:val="Рабочий"/>
    <w:basedOn w:val="Style_6_ch"/>
    <w:link w:val="Style_14"/>
  </w:style>
  <w:style w:styleId="Style_15" w:type="paragraph">
    <w:name w:val="Balloon Text"/>
    <w:basedOn w:val="Style_6"/>
    <w:link w:val="Style_15_ch"/>
    <w:pPr>
      <w:widowControl w:val="1"/>
      <w:spacing w:after="0" w:line="240" w:lineRule="auto"/>
      <w:ind/>
    </w:pPr>
    <w:rPr>
      <w:rFonts w:ascii="Tahoma" w:hAnsi="Tahoma"/>
      <w:sz w:val="16"/>
    </w:rPr>
  </w:style>
  <w:style w:styleId="Style_15_ch" w:type="character">
    <w:name w:val="Balloon Text"/>
    <w:basedOn w:val="Style_6_ch"/>
    <w:link w:val="Style_15"/>
    <w:rPr>
      <w:rFonts w:ascii="Tahoma" w:hAnsi="Tahoma"/>
      <w:sz w:val="16"/>
    </w:rPr>
  </w:style>
  <w:style w:styleId="Style_16" w:type="paragraph">
    <w:name w:val="header"/>
    <w:basedOn w:val="Style_6"/>
    <w:link w:val="Style_16_ch"/>
    <w:pPr>
      <w:widowControl w:val="1"/>
      <w:tabs>
        <w:tab w:leader="none" w:pos="4677" w:val="center"/>
        <w:tab w:leader="none" w:pos="9355" w:val="right"/>
      </w:tabs>
      <w:spacing w:after="0" w:line="240" w:lineRule="auto"/>
      <w:ind/>
    </w:pPr>
  </w:style>
  <w:style w:styleId="Style_16_ch" w:type="character">
    <w:name w:val="header"/>
    <w:basedOn w:val="Style_6_ch"/>
    <w:link w:val="Style_16"/>
  </w:style>
  <w:style w:styleId="Style_3" w:type="paragraph">
    <w:name w:val="ConsPlusNonformat"/>
    <w:link w:val="Style_3_ch"/>
    <w:pPr>
      <w:widowControl w:val="0"/>
      <w:spacing w:after="0" w:line="240" w:lineRule="auto"/>
      <w:ind/>
    </w:pPr>
    <w:rPr>
      <w:rFonts w:ascii="Courier New" w:hAnsi="Courier New"/>
      <w:sz w:val="20"/>
    </w:rPr>
  </w:style>
  <w:style w:styleId="Style_3_ch" w:type="character">
    <w:name w:val="ConsPlusNonformat"/>
    <w:link w:val="Style_3"/>
    <w:rPr>
      <w:rFonts w:ascii="Courier New" w:hAnsi="Courier New"/>
      <w:sz w:val="20"/>
    </w:rPr>
  </w:style>
  <w:style w:styleId="Style_17" w:type="paragraph">
    <w:name w:val="toc 3"/>
    <w:next w:val="Style_6"/>
    <w:link w:val="Style_17_ch"/>
    <w:uiPriority w:val="39"/>
    <w:pPr>
      <w:ind w:firstLine="0" w:left="400"/>
      <w:jc w:val="left"/>
    </w:pPr>
    <w:rPr>
      <w:rFonts w:ascii="XO Thames" w:hAnsi="XO Thames"/>
      <w:sz w:val="28"/>
    </w:rPr>
  </w:style>
  <w:style w:styleId="Style_17_ch" w:type="character">
    <w:name w:val="toc 3"/>
    <w:link w:val="Style_17"/>
    <w:rPr>
      <w:rFonts w:ascii="XO Thames" w:hAnsi="XO Thames"/>
      <w:sz w:val="28"/>
    </w:rPr>
  </w:style>
  <w:style w:styleId="Style_18" w:type="paragraph">
    <w:name w:val="Default Paragraph Font"/>
    <w:link w:val="Style_18_ch"/>
  </w:style>
  <w:style w:styleId="Style_18_ch" w:type="character">
    <w:name w:val="Default Paragraph Font"/>
    <w:link w:val="Style_18"/>
  </w:style>
  <w:style w:styleId="Style_19" w:type="paragraph">
    <w:name w:val="heading 5"/>
    <w:next w:val="Style_6"/>
    <w:link w:val="Style_19_ch"/>
    <w:uiPriority w:val="9"/>
    <w:qFormat/>
    <w:pPr>
      <w:spacing w:after="120" w:before="120"/>
      <w:ind/>
      <w:jc w:val="both"/>
      <w:outlineLvl w:val="4"/>
    </w:pPr>
    <w:rPr>
      <w:rFonts w:ascii="XO Thames" w:hAnsi="XO Thames"/>
      <w:b w:val="1"/>
      <w:sz w:val="22"/>
    </w:rPr>
  </w:style>
  <w:style w:styleId="Style_19_ch" w:type="character">
    <w:name w:val="heading 5"/>
    <w:link w:val="Style_19"/>
    <w:rPr>
      <w:rFonts w:ascii="XO Thames" w:hAnsi="XO Thames"/>
      <w:b w:val="1"/>
      <w:sz w:val="22"/>
    </w:rPr>
  </w:style>
  <w:style w:styleId="Style_2" w:type="paragraph">
    <w:name w:val="No Spacing"/>
    <w:link w:val="Style_2_ch"/>
    <w:pPr>
      <w:widowControl w:val="1"/>
      <w:spacing w:after="0" w:line="240" w:lineRule="auto"/>
      <w:ind/>
    </w:pPr>
    <w:rPr>
      <w:rFonts w:ascii="Times New Roman" w:hAnsi="Times New Roman"/>
      <w:sz w:val="24"/>
    </w:rPr>
  </w:style>
  <w:style w:styleId="Style_2_ch" w:type="character">
    <w:name w:val="No Spacing"/>
    <w:link w:val="Style_2"/>
    <w:rPr>
      <w:rFonts w:ascii="Times New Roman" w:hAnsi="Times New Roman"/>
      <w:sz w:val="24"/>
    </w:rPr>
  </w:style>
  <w:style w:styleId="Style_4" w:type="paragraph">
    <w:name w:val="heading 1"/>
    <w:basedOn w:val="Style_6"/>
    <w:next w:val="Style_6"/>
    <w:link w:val="Style_4_ch"/>
    <w:uiPriority w:val="9"/>
    <w:qFormat/>
    <w:pPr>
      <w:keepNext w:val="1"/>
      <w:keepLines w:val="1"/>
      <w:widowControl w:val="1"/>
      <w:spacing w:after="0" w:before="480"/>
      <w:ind/>
      <w:outlineLvl w:val="0"/>
    </w:pPr>
    <w:rPr>
      <w:rFonts w:asciiTheme="majorAscii" w:hAnsiTheme="majorHAnsi"/>
      <w:b w:val="1"/>
      <w:color w:themeColor="accent1" w:themeShade="BF" w:val="376092"/>
      <w:sz w:val="28"/>
    </w:rPr>
  </w:style>
  <w:style w:styleId="Style_4_ch" w:type="character">
    <w:name w:val="heading 1"/>
    <w:basedOn w:val="Style_6_ch"/>
    <w:link w:val="Style_4"/>
    <w:rPr>
      <w:rFonts w:asciiTheme="majorAscii" w:hAnsiTheme="majorHAnsi"/>
      <w:b w:val="1"/>
      <w:color w:themeColor="accent1" w:themeShade="BF" w:val="376092"/>
      <w:sz w:val="28"/>
    </w:rPr>
  </w:style>
  <w:style w:styleId="Style_20" w:type="paragraph">
    <w:name w:val="Hyperlink"/>
    <w:link w:val="Style_20_ch"/>
    <w:rPr>
      <w:color w:val="0000FF"/>
      <w:u w:val="single"/>
    </w:rPr>
  </w:style>
  <w:style w:styleId="Style_20_ch" w:type="character">
    <w:name w:val="Hyperlink"/>
    <w:link w:val="Style_20"/>
    <w:rPr>
      <w:color w:val="0000FF"/>
      <w:u w:val="single"/>
    </w:rPr>
  </w:style>
  <w:style w:styleId="Style_21" w:type="paragraph">
    <w:name w:val="Footnote"/>
    <w:link w:val="Style_21_ch"/>
    <w:pPr>
      <w:ind w:firstLine="851" w:left="0"/>
      <w:jc w:val="both"/>
    </w:pPr>
    <w:rPr>
      <w:rFonts w:ascii="XO Thames" w:hAnsi="XO Thames"/>
      <w:sz w:val="22"/>
    </w:rPr>
  </w:style>
  <w:style w:styleId="Style_21_ch" w:type="character">
    <w:name w:val="Footnote"/>
    <w:link w:val="Style_21"/>
    <w:rPr>
      <w:rFonts w:ascii="XO Thames" w:hAnsi="XO Thames"/>
      <w:sz w:val="22"/>
    </w:rPr>
  </w:style>
  <w:style w:styleId="Style_22" w:type="paragraph">
    <w:name w:val="toc 1"/>
    <w:next w:val="Style_6"/>
    <w:link w:val="Style_22_ch"/>
    <w:uiPriority w:val="39"/>
    <w:pPr>
      <w:ind w:firstLine="0" w:left="0"/>
      <w:jc w:val="left"/>
    </w:pPr>
    <w:rPr>
      <w:rFonts w:ascii="XO Thames" w:hAnsi="XO Thames"/>
      <w:b w:val="1"/>
      <w:sz w:val="28"/>
    </w:rPr>
  </w:style>
  <w:style w:styleId="Style_22_ch" w:type="character">
    <w:name w:val="toc 1"/>
    <w:link w:val="Style_22"/>
    <w:rPr>
      <w:rFonts w:ascii="XO Thames" w:hAnsi="XO Thames"/>
      <w:b w:val="1"/>
      <w:sz w:val="28"/>
    </w:rPr>
  </w:style>
  <w:style w:styleId="Style_23" w:type="paragraph">
    <w:name w:val="Header and Footer"/>
    <w:link w:val="Style_23_ch"/>
    <w:pPr>
      <w:spacing w:line="240" w:lineRule="auto"/>
      <w:ind/>
      <w:jc w:val="both"/>
    </w:pPr>
    <w:rPr>
      <w:rFonts w:ascii="XO Thames" w:hAnsi="XO Thames"/>
      <w:sz w:val="28"/>
    </w:rPr>
  </w:style>
  <w:style w:styleId="Style_23_ch" w:type="character">
    <w:name w:val="Header and Footer"/>
    <w:link w:val="Style_23"/>
    <w:rPr>
      <w:rFonts w:ascii="XO Thames" w:hAnsi="XO Thames"/>
      <w:sz w:val="28"/>
    </w:rPr>
  </w:style>
  <w:style w:styleId="Style_24" w:type="paragraph">
    <w:name w:val="toc 9"/>
    <w:next w:val="Style_6"/>
    <w:link w:val="Style_24_ch"/>
    <w:uiPriority w:val="39"/>
    <w:pPr>
      <w:ind w:firstLine="0" w:left="1600"/>
      <w:jc w:val="left"/>
    </w:pPr>
    <w:rPr>
      <w:rFonts w:ascii="XO Thames" w:hAnsi="XO Thames"/>
      <w:sz w:val="28"/>
    </w:rPr>
  </w:style>
  <w:style w:styleId="Style_24_ch" w:type="character">
    <w:name w:val="toc 9"/>
    <w:link w:val="Style_24"/>
    <w:rPr>
      <w:rFonts w:ascii="XO Thames" w:hAnsi="XO Thames"/>
      <w:sz w:val="28"/>
    </w:rPr>
  </w:style>
  <w:style w:styleId="Style_25" w:type="paragraph">
    <w:name w:val="Основной текст 21"/>
    <w:basedOn w:val="Style_6"/>
    <w:link w:val="Style_25_ch"/>
    <w:pPr>
      <w:widowControl w:val="1"/>
      <w:spacing w:after="0" w:line="240" w:lineRule="auto"/>
      <w:ind w:firstLine="720" w:right="-143"/>
      <w:jc w:val="both"/>
    </w:pPr>
  </w:style>
  <w:style w:styleId="Style_25_ch" w:type="character">
    <w:name w:val="Основной текст 21"/>
    <w:basedOn w:val="Style_6_ch"/>
    <w:link w:val="Style_25"/>
  </w:style>
  <w:style w:styleId="Style_26" w:type="paragraph">
    <w:name w:val="toc 8"/>
    <w:next w:val="Style_6"/>
    <w:link w:val="Style_26_ch"/>
    <w:uiPriority w:val="39"/>
    <w:pPr>
      <w:ind w:firstLine="0" w:left="1400"/>
      <w:jc w:val="left"/>
    </w:pPr>
    <w:rPr>
      <w:rFonts w:ascii="XO Thames" w:hAnsi="XO Thames"/>
      <w:sz w:val="28"/>
    </w:rPr>
  </w:style>
  <w:style w:styleId="Style_26_ch" w:type="character">
    <w:name w:val="toc 8"/>
    <w:link w:val="Style_26"/>
    <w:rPr>
      <w:rFonts w:ascii="XO Thames" w:hAnsi="XO Thames"/>
      <w:sz w:val="28"/>
    </w:rPr>
  </w:style>
  <w:style w:styleId="Style_27" w:type="paragraph">
    <w:name w:val="toc 5"/>
    <w:next w:val="Style_6"/>
    <w:link w:val="Style_27_ch"/>
    <w:uiPriority w:val="39"/>
    <w:pPr>
      <w:ind w:firstLine="0" w:left="800"/>
      <w:jc w:val="left"/>
    </w:pPr>
    <w:rPr>
      <w:rFonts w:ascii="XO Thames" w:hAnsi="XO Thames"/>
      <w:sz w:val="28"/>
    </w:rPr>
  </w:style>
  <w:style w:styleId="Style_27_ch" w:type="character">
    <w:name w:val="toc 5"/>
    <w:link w:val="Style_27"/>
    <w:rPr>
      <w:rFonts w:ascii="XO Thames" w:hAnsi="XO Thames"/>
      <w:sz w:val="28"/>
    </w:rPr>
  </w:style>
  <w:style w:styleId="Style_28" w:type="paragraph">
    <w:name w:val="List Paragraph"/>
    <w:basedOn w:val="Style_6"/>
    <w:link w:val="Style_28_ch"/>
    <w:pPr>
      <w:widowControl w:val="1"/>
      <w:ind w:left="720"/>
      <w:contextualSpacing w:val="1"/>
    </w:pPr>
  </w:style>
  <w:style w:styleId="Style_28_ch" w:type="character">
    <w:name w:val="List Paragraph"/>
    <w:basedOn w:val="Style_6_ch"/>
    <w:link w:val="Style_28"/>
  </w:style>
  <w:style w:styleId="Style_29" w:type="paragraph">
    <w:name w:val="footer"/>
    <w:basedOn w:val="Style_6"/>
    <w:link w:val="Style_29_ch"/>
    <w:pPr>
      <w:widowControl w:val="1"/>
      <w:tabs>
        <w:tab w:leader="none" w:pos="4677" w:val="center"/>
        <w:tab w:leader="none" w:pos="9355" w:val="right"/>
      </w:tabs>
      <w:spacing w:after="0" w:line="240" w:lineRule="auto"/>
      <w:ind/>
    </w:pPr>
  </w:style>
  <w:style w:styleId="Style_29_ch" w:type="character">
    <w:name w:val="footer"/>
    <w:basedOn w:val="Style_6_ch"/>
    <w:link w:val="Style_29"/>
  </w:style>
  <w:style w:styleId="Style_30" w:type="paragraph">
    <w:name w:val="Subtitle"/>
    <w:next w:val="Style_6"/>
    <w:link w:val="Style_30_ch"/>
    <w:uiPriority w:val="11"/>
    <w:qFormat/>
    <w:pPr>
      <w:ind/>
      <w:jc w:val="both"/>
    </w:pPr>
    <w:rPr>
      <w:rFonts w:ascii="XO Thames" w:hAnsi="XO Thames"/>
      <w:i w:val="1"/>
      <w:sz w:val="24"/>
    </w:rPr>
  </w:style>
  <w:style w:styleId="Style_30_ch" w:type="character">
    <w:name w:val="Subtitle"/>
    <w:link w:val="Style_30"/>
    <w:rPr>
      <w:rFonts w:ascii="XO Thames" w:hAnsi="XO Thames"/>
      <w:i w:val="1"/>
      <w:sz w:val="24"/>
    </w:rPr>
  </w:style>
  <w:style w:styleId="Style_31" w:type="paragraph">
    <w:name w:val="Title"/>
    <w:next w:val="Style_6"/>
    <w:link w:val="Style_31_ch"/>
    <w:uiPriority w:val="10"/>
    <w:qFormat/>
    <w:pPr>
      <w:spacing w:after="567" w:before="567"/>
      <w:ind/>
      <w:jc w:val="center"/>
    </w:pPr>
    <w:rPr>
      <w:rFonts w:ascii="XO Thames" w:hAnsi="XO Thames"/>
      <w:b w:val="1"/>
      <w:caps w:val="1"/>
      <w:sz w:val="40"/>
    </w:rPr>
  </w:style>
  <w:style w:styleId="Style_31_ch" w:type="character">
    <w:name w:val="Title"/>
    <w:link w:val="Style_31"/>
    <w:rPr>
      <w:rFonts w:ascii="XO Thames" w:hAnsi="XO Thames"/>
      <w:b w:val="1"/>
      <w:caps w:val="1"/>
      <w:sz w:val="40"/>
    </w:rPr>
  </w:style>
  <w:style w:styleId="Style_32" w:type="paragraph">
    <w:name w:val="heading 4"/>
    <w:next w:val="Style_6"/>
    <w:link w:val="Style_32_ch"/>
    <w:uiPriority w:val="9"/>
    <w:qFormat/>
    <w:pPr>
      <w:spacing w:after="120" w:before="120"/>
      <w:ind/>
      <w:jc w:val="both"/>
      <w:outlineLvl w:val="3"/>
    </w:pPr>
    <w:rPr>
      <w:rFonts w:ascii="XO Thames" w:hAnsi="XO Thames"/>
      <w:b w:val="1"/>
      <w:sz w:val="24"/>
    </w:rPr>
  </w:style>
  <w:style w:styleId="Style_32_ch" w:type="character">
    <w:name w:val="heading 4"/>
    <w:link w:val="Style_32"/>
    <w:rPr>
      <w:rFonts w:ascii="XO Thames" w:hAnsi="XO Thames"/>
      <w:b w:val="1"/>
      <w:sz w:val="24"/>
    </w:rPr>
  </w:style>
  <w:style w:styleId="Style_33" w:type="paragraph">
    <w:name w:val="heading 2"/>
    <w:next w:val="Style_6"/>
    <w:link w:val="Style_33_ch"/>
    <w:uiPriority w:val="9"/>
    <w:qFormat/>
    <w:pPr>
      <w:spacing w:after="120" w:before="120"/>
      <w:ind/>
      <w:jc w:val="both"/>
      <w:outlineLvl w:val="1"/>
    </w:pPr>
    <w:rPr>
      <w:rFonts w:ascii="XO Thames" w:hAnsi="XO Thames"/>
      <w:b w:val="1"/>
      <w:sz w:val="28"/>
    </w:rPr>
  </w:style>
  <w:style w:styleId="Style_33_ch" w:type="character">
    <w:name w:val="heading 2"/>
    <w:link w:val="Style_33"/>
    <w:rPr>
      <w:rFonts w:ascii="XO Thames" w:hAnsi="XO Thames"/>
      <w:b w:val="1"/>
      <w:sz w:val="28"/>
    </w:rPr>
  </w:style>
  <w:style w:default="1" w:styleId="Style_1" w:type="table">
    <w:name w:val="Normal Table"/>
    <w:tblPr>
      <w:tblInd w:type="dxa" w:w="0"/>
      <w:tblCellMar>
        <w:top w:type="dxa" w:w="0"/>
        <w:left w:type="dxa" w:w="108"/>
        <w:bottom w:type="dxa" w:w="0"/>
        <w:right w:type="dxa" w:w="108"/>
      </w:tblCellMar>
    </w:tblPr>
  </w:style>
  <w:style w:styleId="Style_5" w:type="table">
    <w:name w:val="Table Grid"/>
    <w:basedOn w:val="Style_1"/>
    <w:pPr>
      <w:widowControl w:val="1"/>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xml" Type="http://schemas.openxmlformats.org/officeDocument/2006/relationships/styles"/>
  <Relationship Id="rId1" Target="media/1.png" Type="http://schemas.openxmlformats.org/officeDocument/2006/relationships/image"/>
  <Relationship Id="rId8" Target="numbering.xml" Type="http://schemas.openxmlformats.org/officeDocument/2006/relationships/numbering"/>
  <Relationship Id="rId7" Target="theme/theme1.xml" Type="http://schemas.openxmlformats.org/officeDocument/2006/relationships/theme"/>
  <Relationship Id="rId5" Target="stylesWithEffects.xml" Type="http://schemas.microsoft.com/office/2007/relationships/stylesWithEffects"/>
  <Relationship Id="rId3" Target="settings.xml" Type="http://schemas.openxmlformats.org/officeDocument/2006/relationships/settings"/>
  <Relationship Id="rId2" Target="fontTable.xml" Type="http://schemas.openxmlformats.org/officeDocument/2006/relationships/fontTable"/>
  <Relationship Id="rId6"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MyOffice-CoreFramework-Windows/39-1403.1128.10324.1037.1@e8ff5f727e334356b492384cca4cf28c85978f47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2023-12-28T13:35:00Z</dcterms:created>
  <dcterms:modified xsi:type="dcterms:W3CDTF">2026-07-03T14:15:32Z</dcterms:modified>
</cp:coreProperties>
</file>