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Г. ТАГАНРОГА (ВОСТОЧНАЯ) 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 июня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№ 2</w:t>
      </w:r>
      <w:r>
        <w:rPr>
          <w:rFonts w:ascii="Times New Roman" w:hAnsi="Times New Roman"/>
          <w:sz w:val="28"/>
        </w:rPr>
        <w:t>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14:paraId="0A000000">
      <w:pPr>
        <w:pStyle w:val="Style_1"/>
        <w:widowControl w:val="0"/>
        <w:spacing w:line="300" w:lineRule="auto"/>
        <w:ind/>
        <w:jc w:val="center"/>
        <w:rPr>
          <w:rFonts w:ascii="Times New Roman" w:hAnsi="Times New Roman"/>
          <w:sz w:val="24"/>
        </w:rPr>
      </w:pPr>
    </w:p>
    <w:p w14:paraId="0B000000">
      <w:pPr>
        <w:widowControl w:val="1"/>
        <w:tabs>
          <w:tab w:leader="none" w:pos="7938" w:val="left"/>
        </w:tabs>
        <w:ind w:hanging="1" w:left="1418" w:right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О назначении главного бухгалтера Территориальной избирательной комиссии города Таганрога (восточная) Ростовской области на период подготовки и </w:t>
      </w:r>
      <w:r>
        <w:rPr>
          <w:rFonts w:ascii="Times New Roman" w:hAnsi="Times New Roman"/>
          <w:b w:val="1"/>
          <w:sz w:val="28"/>
        </w:rPr>
        <w:t>проведения выборов</w:t>
      </w:r>
      <w:r>
        <w:rPr>
          <w:rFonts w:ascii="Times New Roman" w:hAnsi="Times New Roman"/>
          <w:b w:val="1"/>
          <w:sz w:val="28"/>
        </w:rPr>
        <w:t xml:space="preserve">  депутатов Государственной Думы Федерального Собрания Российской Федерации девятого созыва</w:t>
      </w:r>
    </w:p>
    <w:p w14:paraId="0C000000">
      <w:pPr>
        <w:widowControl w:val="1"/>
        <w:tabs>
          <w:tab w:leader="none" w:pos="7938" w:val="left"/>
        </w:tabs>
        <w:ind w:left="1418" w:right="1418"/>
        <w:rPr>
          <w:rFonts w:ascii="Times New Roman" w:hAnsi="Times New Roman"/>
          <w:b w:val="1"/>
          <w:sz w:val="28"/>
        </w:rPr>
      </w:pPr>
    </w:p>
    <w:p w14:paraId="0D000000">
      <w:pPr>
        <w:widowControl w:val="1"/>
        <w:tabs>
          <w:tab w:leader="none" w:pos="7938" w:val="left"/>
        </w:tabs>
        <w:ind w:left="-708" w:right="1418"/>
        <w:rPr>
          <w:rFonts w:ascii="Times New Roman" w:hAnsi="Times New Roman"/>
          <w:sz w:val="28"/>
        </w:rPr>
      </w:pPr>
    </w:p>
    <w:p w14:paraId="0E000000">
      <w:pPr>
        <w:widowControl w:val="1"/>
        <w:ind w:firstLine="709" w:right="-14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огласно</w:t>
      </w:r>
      <w:r>
        <w:rPr>
          <w:rFonts w:ascii="Times New Roman" w:hAnsi="Times New Roman"/>
          <w:sz w:val="28"/>
        </w:rPr>
        <w:t xml:space="preserve"> Инструкции</w:t>
      </w:r>
      <w:r>
        <w:rPr>
          <w:rFonts w:ascii="Times New Roman" w:hAnsi="Times New Roman"/>
          <w:sz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rFonts w:ascii="Times New Roman" w:hAnsi="Times New Roman"/>
          <w:sz w:val="28"/>
        </w:rPr>
        <w:t xml:space="preserve">едерации от 18 мая 2016 г. </w:t>
      </w:r>
      <w:r>
        <w:rPr>
          <w:rFonts w:ascii="Times New Roman" w:hAnsi="Times New Roman"/>
          <w:sz w:val="28"/>
        </w:rPr>
        <w:t>№ 7/59-7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(восточная) Ростовской области</w:t>
      </w:r>
    </w:p>
    <w:p w14:paraId="0F000000">
      <w:pPr>
        <w:widowControl w:val="1"/>
        <w:ind w:firstLine="708"/>
        <w:jc w:val="center"/>
        <w:rPr>
          <w:rFonts w:ascii="Times New Roman" w:hAnsi="Times New Roman"/>
          <w:b w:val="0"/>
          <w:sz w:val="28"/>
        </w:rPr>
      </w:pPr>
    </w:p>
    <w:p w14:paraId="10000000">
      <w:pPr>
        <w:widowControl w:val="1"/>
        <w:ind w:firstLine="0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ПОСТАНОВЛЯЕТ:</w:t>
      </w:r>
    </w:p>
    <w:p w14:paraId="11000000">
      <w:pPr>
        <w:widowControl w:val="1"/>
        <w:ind w:firstLine="708"/>
        <w:jc w:val="center"/>
        <w:rPr>
          <w:rFonts w:ascii="Times New Roman" w:hAnsi="Times New Roman"/>
          <w:b w:val="1"/>
          <w:sz w:val="28"/>
        </w:rPr>
      </w:pPr>
    </w:p>
    <w:p w14:paraId="12000000">
      <w:pPr>
        <w:widowControl w:val="1"/>
        <w:numPr>
          <w:ilvl w:val="0"/>
          <w:numId w:val="1"/>
        </w:numPr>
        <w:spacing w:line="276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На период подготовки и проведения выборов</w:t>
      </w:r>
      <w:r>
        <w:rPr>
          <w:rFonts w:ascii="Times New Roman" w:hAnsi="Times New Roman"/>
          <w:b w:val="0"/>
          <w:sz w:val="28"/>
        </w:rPr>
        <w:t xml:space="preserve"> депутатов </w:t>
      </w:r>
      <w:r>
        <w:rPr>
          <w:rFonts w:ascii="Times New Roman" w:hAnsi="Times New Roman"/>
          <w:b w:val="0"/>
          <w:sz w:val="28"/>
        </w:rPr>
        <w:t>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 для выполнения функций главного бухгалтера Территориальной избирательной комиссии города Таганрога (восточная) Ростовской области назначить </w:t>
      </w:r>
      <w:r>
        <w:rPr>
          <w:rFonts w:ascii="Times New Roman" w:hAnsi="Times New Roman"/>
          <w:color w:val="000000"/>
          <w:sz w:val="28"/>
        </w:rPr>
        <w:t>Федоринову Злату Николаевн</w:t>
      </w:r>
      <w:r>
        <w:rPr>
          <w:rFonts w:ascii="Times New Roman" w:hAnsi="Times New Roman"/>
          <w:color w:val="000000"/>
          <w:sz w:val="28"/>
        </w:rPr>
        <w:t>у.</w:t>
      </w:r>
    </w:p>
    <w:p w14:paraId="13000000">
      <w:pPr>
        <w:widowControl w:val="1"/>
        <w:spacing w:after="0" w:line="30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Контроль за выполнение настоящего постановления возложить </w:t>
      </w:r>
      <w:r>
        <w:rPr>
          <w:rFonts w:ascii="Times New Roman" w:hAnsi="Times New Roman"/>
          <w:sz w:val="28"/>
        </w:rPr>
        <w:t xml:space="preserve">на председателя комиссии </w:t>
      </w:r>
      <w:r>
        <w:rPr>
          <w:rFonts w:ascii="Times New Roman" w:hAnsi="Times New Roman"/>
          <w:sz w:val="28"/>
        </w:rPr>
        <w:t>Ерасова Валерия Геннадьевича</w:t>
      </w:r>
      <w:r>
        <w:rPr>
          <w:rFonts w:ascii="Times New Roman" w:hAnsi="Times New Roman"/>
          <w:i w:val="1"/>
          <w:sz w:val="28"/>
        </w:rPr>
        <w:t>.</w:t>
      </w:r>
    </w:p>
    <w:p w14:paraId="14000000">
      <w:pPr>
        <w:pStyle w:val="Style_2"/>
        <w:widowControl w:val="0"/>
        <w:spacing w:line="300" w:lineRule="auto"/>
        <w:ind w:firstLine="0" w:left="0" w:right="0"/>
        <w:jc w:val="both"/>
        <w:rPr>
          <w:rFonts w:ascii="Times New Roman" w:hAnsi="Times New Roman"/>
          <w:sz w:val="28"/>
        </w:rPr>
      </w:pPr>
    </w:p>
    <w:p w14:paraId="15000000">
      <w:pPr>
        <w:pStyle w:val="Style_2"/>
        <w:widowControl w:val="0"/>
        <w:spacing w:line="300" w:lineRule="auto"/>
        <w:ind w:firstLine="0" w:left="0" w:right="0"/>
        <w:jc w:val="both"/>
        <w:rPr>
          <w:rFonts w:ascii="Times New Roman" w:hAnsi="Times New Roman"/>
          <w:sz w:val="28"/>
        </w:rPr>
      </w:pPr>
    </w:p>
    <w:p w14:paraId="16000000">
      <w:pPr>
        <w:pStyle w:val="Style_2"/>
        <w:widowControl w:val="0"/>
        <w:spacing w:line="300" w:lineRule="auto"/>
        <w:ind w:firstLine="0" w:left="0" w:righ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В.Г. Ерасов</w:t>
      </w:r>
    </w:p>
    <w:p w14:paraId="17000000">
      <w:pPr>
        <w:pStyle w:val="Style_2"/>
        <w:widowControl w:val="0"/>
        <w:spacing w:line="300" w:lineRule="auto"/>
        <w:ind w:firstLine="0" w:left="0" w:right="0"/>
        <w:rPr>
          <w:rFonts w:ascii="Times New Roman" w:hAnsi="Times New Roman"/>
          <w:sz w:val="28"/>
        </w:rPr>
      </w:pPr>
    </w:p>
    <w:p w14:paraId="18000000">
      <w:pPr>
        <w:pStyle w:val="Style_2"/>
        <w:widowControl w:val="0"/>
        <w:spacing w:line="300" w:lineRule="auto"/>
        <w:ind w:firstLine="0" w:left="0" w:righ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Ю.В. Романенко</w:t>
      </w:r>
    </w:p>
    <w:p w14:paraId="19000000">
      <w:pPr>
        <w:widowControl w:val="1"/>
        <w:spacing w:line="300" w:lineRule="auto"/>
        <w:ind/>
      </w:pPr>
    </w:p>
    <w:sectPr>
      <w:pgSz w:h="16838" w:orient="portrait" w:w="11906"/>
      <w:pgMar w:bottom="567" w:footer="708" w:gutter="0" w:header="708" w:left="1701" w:right="85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3_ch" w:type="character">
    <w:name w:val="Normal"/>
    <w:link w:val="Style_3"/>
    <w:rPr>
      <w:rFonts w:ascii="Calibri" w:hAnsi="Calibri"/>
    </w:rPr>
  </w:style>
  <w:style w:styleId="Style_4" w:type="paragraph">
    <w:name w:val="toc 2"/>
    <w:next w:val="Style_3"/>
    <w:link w:val="Style_4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Обычный1"/>
    <w:link w:val="Style_6_ch"/>
    <w:rPr>
      <w:rFonts w:ascii="Calibri" w:hAnsi="Calibri"/>
    </w:rPr>
  </w:style>
  <w:style w:styleId="Style_6_ch" w:type="character">
    <w:name w:val="Обычный1"/>
    <w:link w:val="Style_6"/>
    <w:rPr>
      <w:rFonts w:ascii="Calibri" w:hAnsi="Calibri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7" w:type="paragraph">
    <w:name w:val="toc 6"/>
    <w:next w:val="Style_3"/>
    <w:link w:val="Style_7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</w:rPr>
  </w:style>
  <w:style w:styleId="Style_9_ch" w:type="character">
    <w:name w:val="Endnote"/>
    <w:link w:val="Style_9"/>
    <w:rPr>
      <w:rFonts w:ascii="XO Thames" w:hAnsi="XO Thames"/>
    </w:rPr>
  </w:style>
  <w:style w:styleId="Style_10" w:type="paragraph">
    <w:name w:val="heading 3"/>
    <w:next w:val="Style_3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3"/>
    <w:link w:val="Style_11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Основной шрифт абзаца1"/>
    <w:link w:val="Style_12_ch"/>
  </w:style>
  <w:style w:styleId="Style_12_ch" w:type="character">
    <w:name w:val="Основной шрифт абзаца1"/>
    <w:link w:val="Style_12"/>
  </w:style>
  <w:style w:styleId="Style_13" w:type="paragraph">
    <w:name w:val="heading 5"/>
    <w:next w:val="Style_3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3_ch" w:type="character">
    <w:name w:val="heading 5"/>
    <w:link w:val="Style_13"/>
    <w:rPr>
      <w:rFonts w:ascii="XO Thames" w:hAnsi="XO Thames"/>
      <w:b w:val="1"/>
    </w:rPr>
  </w:style>
  <w:style w:styleId="Style_2" w:type="paragraph">
    <w:name w:val="14-15"/>
    <w:basedOn w:val="Style_3"/>
    <w:link w:val="Style_2_ch"/>
    <w:pPr>
      <w:widowControl w:val="0"/>
      <w:spacing w:line="360" w:lineRule="auto"/>
      <w:ind w:firstLine="709" w:left="0"/>
      <w:jc w:val="both"/>
    </w:pPr>
  </w:style>
  <w:style w:styleId="Style_2_ch" w:type="character">
    <w:name w:val="14-15"/>
    <w:basedOn w:val="Style_3_ch"/>
    <w:link w:val="Style_2"/>
  </w:style>
  <w:style w:styleId="Style_14" w:type="paragraph">
    <w:name w:val="heading 1"/>
    <w:next w:val="Style_3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</w:rPr>
  </w:style>
  <w:style w:styleId="Style_16_ch" w:type="character">
    <w:name w:val="Footnote"/>
    <w:link w:val="Style_16"/>
    <w:rPr>
      <w:rFonts w:ascii="XO Thames" w:hAnsi="XO Thames"/>
    </w:rPr>
  </w:style>
  <w:style w:styleId="Style_17" w:type="paragraph">
    <w:name w:val="toc 1"/>
    <w:next w:val="Style_3"/>
    <w:link w:val="Style_17_ch"/>
    <w:uiPriority w:val="39"/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3"/>
    <w:link w:val="Style_1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3"/>
    <w:link w:val="Style_2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heading 2"/>
    <w:next w:val="Style_3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Гиперссылка1"/>
    <w:link w:val="Style_27_ch"/>
    <w:rPr>
      <w:color w:val="0000FF"/>
      <w:u w:val="single"/>
    </w:rPr>
  </w:style>
  <w:style w:styleId="Style_27_ch" w:type="character">
    <w:name w:val="Гиперссылка1"/>
    <w:link w:val="Style_27"/>
    <w:rPr>
      <w:color w:val="0000FF"/>
      <w:u w:val="single"/>
    </w:rPr>
  </w:style>
  <w:style w:styleId="Style_28" w:type="paragraph">
    <w:name w:val="Balloon Text"/>
    <w:basedOn w:val="Style_3"/>
    <w:link w:val="Style_28_ch"/>
    <w:rPr>
      <w:rFonts w:ascii="Tahoma" w:hAnsi="Tahoma"/>
      <w:sz w:val="16"/>
    </w:rPr>
  </w:style>
  <w:style w:styleId="Style_28_ch" w:type="character">
    <w:name w:val="Balloon Text"/>
    <w:basedOn w:val="Style_3_ch"/>
    <w:link w:val="Style_28"/>
    <w:rPr>
      <w:rFonts w:ascii="Tahoma" w:hAnsi="Tahoma"/>
      <w:sz w:val="16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2025-06-24T09:09:54Z</dcterms:created>
  <dcterms:modified xsi:type="dcterms:W3CDTF">2026-06-19T08:57:34Z</dcterms:modified>
</cp:coreProperties>
</file>