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29F" w:rsidRDefault="0064526C">
      <w:pPr>
        <w:ind w:right="175"/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29F" w:rsidRDefault="0064526C">
      <w:pPr>
        <w:widowControl w:val="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A529F" w:rsidRDefault="0064526C">
      <w:pPr>
        <w:widowControl w:val="0"/>
        <w:jc w:val="center"/>
        <w:rPr>
          <w:b/>
        </w:rPr>
      </w:pPr>
      <w:r>
        <w:rPr>
          <w:b/>
        </w:rPr>
        <w:t>Г.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9A529F" w:rsidRDefault="009A529F">
      <w:pPr>
        <w:ind w:right="175"/>
        <w:jc w:val="center"/>
        <w:rPr>
          <w:b/>
          <w:spacing w:val="20"/>
          <w:sz w:val="16"/>
        </w:rPr>
      </w:pPr>
    </w:p>
    <w:p w:rsidR="009A529F" w:rsidRDefault="009A529F">
      <w:pPr>
        <w:ind w:right="175"/>
        <w:jc w:val="center"/>
        <w:rPr>
          <w:b/>
          <w:spacing w:val="20"/>
          <w:sz w:val="16"/>
        </w:rPr>
      </w:pPr>
    </w:p>
    <w:p w:rsidR="009A529F" w:rsidRDefault="0064526C">
      <w:pPr>
        <w:keepNext/>
        <w:ind w:right="175"/>
        <w:jc w:val="center"/>
        <w:outlineLvl w:val="1"/>
        <w:rPr>
          <w:b/>
          <w:i/>
          <w:spacing w:val="20"/>
        </w:rPr>
      </w:pPr>
      <w:r>
        <w:rPr>
          <w:b/>
          <w:spacing w:val="20"/>
        </w:rPr>
        <w:t>ПОСТАНОВЛЕНИЕ</w:t>
      </w:r>
      <w:r>
        <w:rPr>
          <w:b/>
          <w:i/>
          <w:spacing w:val="20"/>
        </w:rPr>
        <w:t xml:space="preserve"> </w:t>
      </w:r>
    </w:p>
    <w:p w:rsidR="009A529F" w:rsidRDefault="009A529F">
      <w:pPr>
        <w:ind w:right="175"/>
        <w:jc w:val="center"/>
        <w:rPr>
          <w:b/>
          <w:spacing w:val="20"/>
        </w:rPr>
      </w:pPr>
    </w:p>
    <w:p w:rsidR="009A529F" w:rsidRDefault="0064526C">
      <w:pPr>
        <w:jc w:val="both"/>
      </w:pPr>
      <w:r>
        <w:t xml:space="preserve">24 июня 2025 г.                                                          </w:t>
      </w:r>
      <w:r>
        <w:tab/>
        <w:t xml:space="preserve">  </w:t>
      </w:r>
      <w:r>
        <w:tab/>
        <w:t xml:space="preserve">                      № 152-2</w:t>
      </w:r>
    </w:p>
    <w:p w:rsidR="009A529F" w:rsidRDefault="0064526C">
      <w:pPr>
        <w:ind w:right="175"/>
        <w:jc w:val="center"/>
      </w:pPr>
      <w:r>
        <w:t>г. Таганрог</w:t>
      </w:r>
    </w:p>
    <w:p w:rsidR="009A529F" w:rsidRDefault="009A529F">
      <w:pPr>
        <w:jc w:val="center"/>
      </w:pPr>
    </w:p>
    <w:p w:rsidR="009A529F" w:rsidRDefault="0064526C">
      <w:pPr>
        <w:pStyle w:val="10"/>
        <w:tabs>
          <w:tab w:val="left" w:pos="8820"/>
        </w:tabs>
        <w:ind w:left="1418" w:right="1559"/>
        <w:jc w:val="both"/>
        <w:rPr>
          <w:b/>
        </w:rPr>
      </w:pPr>
      <w:r>
        <w:rPr>
          <w:b/>
        </w:rPr>
        <w:t>О Рабочей группе Территориальной избирательной комиссии города Таганрога (восточная)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</w:t>
      </w:r>
      <w:r>
        <w:rPr>
          <w:b/>
        </w:rPr>
        <w:t>ьного процесса, нарушающие избирательные права граждан при проведении выборов Губернатора Ростовской области</w:t>
      </w:r>
    </w:p>
    <w:p w:rsidR="009A529F" w:rsidRDefault="009A529F"/>
    <w:p w:rsidR="009A529F" w:rsidRDefault="0064526C">
      <w:pPr>
        <w:tabs>
          <w:tab w:val="left" w:pos="567"/>
        </w:tabs>
        <w:ind w:firstLine="709"/>
        <w:jc w:val="both"/>
      </w:pPr>
      <w:proofErr w:type="gramStart"/>
      <w:r>
        <w:t>Реализуя полномочия Территориальной избирательной комиссии города Таганрога (восточная) Ростовской области, предусмотренные статьями 25, 26 Федера</w:t>
      </w:r>
      <w:r>
        <w:t>льного закона от 12.06.2002 № 67-ФЗ «Об основных гарантиях избирательных прав и права на участие в референдуме граждан Российской Федерации», статьями 16, 17 Областного закона от 12.05.2016 № 525-ЗС                    «О выборах и референдумах в Ростовской</w:t>
      </w:r>
      <w:r>
        <w:t xml:space="preserve"> области», по осуществлению контроля за соблюдением избирательных прав граждан Российской Федерации на территории</w:t>
      </w:r>
      <w:proofErr w:type="gramEnd"/>
      <w:r>
        <w:t xml:space="preserve"> </w:t>
      </w:r>
      <w:proofErr w:type="gramStart"/>
      <w:r>
        <w:t>города Таганрога, в целях оперативного рассмотрения  и принятия решений по жалобам (заявлениям), поступающим в Территориальную избирательную к</w:t>
      </w:r>
      <w:r>
        <w:t>омиссию города Таганрога (восточная)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</w:t>
      </w:r>
      <w:r>
        <w:t xml:space="preserve">рнатора Ростовской области, </w:t>
      </w:r>
      <w:r>
        <w:t>Территориальная избирательная комиссия города Таганрога (восточная) Ростовской области</w:t>
      </w:r>
      <w:proofErr w:type="gramEnd"/>
    </w:p>
    <w:p w:rsidR="009A529F" w:rsidRDefault="009A529F">
      <w:pPr>
        <w:tabs>
          <w:tab w:val="left" w:pos="567"/>
        </w:tabs>
        <w:ind w:firstLine="709"/>
        <w:jc w:val="both"/>
      </w:pPr>
    </w:p>
    <w:p w:rsidR="009A529F" w:rsidRDefault="0064526C">
      <w:pPr>
        <w:ind w:right="-185"/>
        <w:jc w:val="center"/>
      </w:pPr>
      <w:r>
        <w:t xml:space="preserve"> ПОСТАНОВЛЯЕТ:</w:t>
      </w:r>
    </w:p>
    <w:p w:rsidR="009A529F" w:rsidRDefault="009A529F">
      <w:pPr>
        <w:ind w:firstLine="708"/>
        <w:jc w:val="center"/>
        <w:rPr>
          <w:sz w:val="16"/>
        </w:rPr>
      </w:pPr>
    </w:p>
    <w:p w:rsidR="009A529F" w:rsidRDefault="0064526C">
      <w:pPr>
        <w:numPr>
          <w:ilvl w:val="0"/>
          <w:numId w:val="1"/>
        </w:numPr>
        <w:tabs>
          <w:tab w:val="left" w:pos="1134"/>
        </w:tabs>
        <w:spacing w:line="276" w:lineRule="auto"/>
        <w:ind w:left="0" w:firstLine="567"/>
        <w:jc w:val="both"/>
      </w:pPr>
      <w:r>
        <w:t>Утвердить:</w:t>
      </w:r>
    </w:p>
    <w:p w:rsidR="009A529F" w:rsidRDefault="0064526C">
      <w:pPr>
        <w:ind w:firstLine="567"/>
        <w:jc w:val="both"/>
      </w:pPr>
      <w:r>
        <w:t>1.1. Положение о Рабочей группе Территориальной избирательной комиссии города</w:t>
      </w:r>
      <w:r>
        <w:t xml:space="preserve"> Таганрога (восточная)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</w:t>
      </w:r>
      <w:r>
        <w:t>ведении выборов Губернатора Ростовской области согласно приложению №</w:t>
      </w:r>
      <w:r>
        <w:t> </w:t>
      </w:r>
      <w:r>
        <w:t>1.</w:t>
      </w:r>
    </w:p>
    <w:p w:rsidR="009A529F" w:rsidRDefault="0064526C">
      <w:pPr>
        <w:ind w:firstLine="567"/>
        <w:jc w:val="both"/>
      </w:pPr>
      <w:r>
        <w:lastRenderedPageBreak/>
        <w:t>1.2. Состав Рабочей группы Территориальной избирательной комиссии  города Таганрога (восточная) Ростовской области по рассмотрению жалоб (заявлений) на решения и действия (бездействие)</w:t>
      </w:r>
      <w:r>
        <w:t xml:space="preserve">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области, согласно приложению № 2.</w:t>
      </w:r>
      <w:r>
        <w:br/>
      </w:r>
    </w:p>
    <w:p w:rsidR="009A529F" w:rsidRDefault="0064526C">
      <w:pPr>
        <w:pStyle w:val="af"/>
        <w:numPr>
          <w:ilvl w:val="0"/>
          <w:numId w:val="1"/>
        </w:numPr>
        <w:tabs>
          <w:tab w:val="left" w:pos="1134"/>
        </w:tabs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</w:t>
      </w:r>
      <w:r>
        <w:rPr>
          <w:rFonts w:ascii="Times New Roman" w:hAnsi="Times New Roman"/>
          <w:sz w:val="28"/>
        </w:rPr>
        <w:t xml:space="preserve">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  <w:r>
        <w:rPr>
          <w:rFonts w:ascii="Times New Roman" w:hAnsi="Times New Roman"/>
          <w:sz w:val="28"/>
        </w:rPr>
        <w:br/>
      </w:r>
    </w:p>
    <w:p w:rsidR="009A529F" w:rsidRDefault="0064526C">
      <w:pPr>
        <w:pStyle w:val="af"/>
        <w:numPr>
          <w:ilvl w:val="0"/>
          <w:numId w:val="1"/>
        </w:numPr>
        <w:tabs>
          <w:tab w:val="left" w:pos="1134"/>
        </w:tabs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над исполнением настоящего постановления возложить на секретаря Территориальной избирательной коми</w:t>
      </w:r>
      <w:r>
        <w:rPr>
          <w:rFonts w:ascii="Times New Roman" w:hAnsi="Times New Roman"/>
          <w:sz w:val="28"/>
        </w:rPr>
        <w:t>ссии города Таганрога (восточная) Ростовской области Ю.В. Романенко.</w:t>
      </w:r>
    </w:p>
    <w:p w:rsidR="009A529F" w:rsidRDefault="009A529F">
      <w:pPr>
        <w:pStyle w:val="af"/>
        <w:spacing w:line="276" w:lineRule="auto"/>
        <w:ind w:left="360"/>
        <w:jc w:val="both"/>
        <w:rPr>
          <w:rFonts w:ascii="Times New Roman" w:hAnsi="Times New Roman"/>
          <w:sz w:val="28"/>
        </w:rPr>
      </w:pPr>
    </w:p>
    <w:p w:rsidR="009A529F" w:rsidRDefault="009A529F">
      <w:pPr>
        <w:spacing w:line="276" w:lineRule="auto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9A529F">
        <w:trPr>
          <w:trHeight w:val="728"/>
        </w:trPr>
        <w:tc>
          <w:tcPr>
            <w:tcW w:w="3352" w:type="dxa"/>
            <w:shd w:val="clear" w:color="auto" w:fill="auto"/>
          </w:tcPr>
          <w:p w:rsidR="009A529F" w:rsidRDefault="0064526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A529F" w:rsidRDefault="0064526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9A529F" w:rsidRDefault="0064526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>В.Г. Ерасов</w:t>
            </w:r>
          </w:p>
        </w:tc>
      </w:tr>
      <w:tr w:rsidR="009A529F">
        <w:trPr>
          <w:trHeight w:val="424"/>
        </w:trPr>
        <w:tc>
          <w:tcPr>
            <w:tcW w:w="3352" w:type="dxa"/>
            <w:shd w:val="clear" w:color="auto" w:fill="auto"/>
          </w:tcPr>
          <w:p w:rsidR="009A529F" w:rsidRDefault="0064526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A529F" w:rsidRDefault="009A529F">
            <w:pPr>
              <w:tabs>
                <w:tab w:val="left" w:pos="7655"/>
                <w:tab w:val="left" w:pos="7938"/>
                <w:tab w:val="left" w:pos="8505"/>
              </w:tabs>
            </w:pPr>
          </w:p>
        </w:tc>
        <w:tc>
          <w:tcPr>
            <w:tcW w:w="2736" w:type="dxa"/>
            <w:shd w:val="clear" w:color="auto" w:fill="auto"/>
          </w:tcPr>
          <w:p w:rsidR="009A529F" w:rsidRDefault="0064526C">
            <w:pPr>
              <w:tabs>
                <w:tab w:val="left" w:pos="7655"/>
                <w:tab w:val="left" w:pos="7938"/>
                <w:tab w:val="left" w:pos="8505"/>
              </w:tabs>
            </w:pPr>
            <w:r>
              <w:t>Ю.В. Романенко</w:t>
            </w:r>
          </w:p>
        </w:tc>
      </w:tr>
    </w:tbl>
    <w:p w:rsidR="009A529F" w:rsidRDefault="009A529F"/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954"/>
        <w:jc w:val="center"/>
        <w:rPr>
          <w:sz w:val="24"/>
        </w:rPr>
      </w:pPr>
    </w:p>
    <w:p w:rsidR="009A529F" w:rsidRDefault="0064526C">
      <w:pPr>
        <w:widowControl w:val="0"/>
        <w:ind w:left="5954"/>
        <w:jc w:val="center"/>
        <w:rPr>
          <w:sz w:val="22"/>
        </w:rPr>
      </w:pPr>
      <w:r>
        <w:rPr>
          <w:sz w:val="22"/>
        </w:rPr>
        <w:t>Приложение № 1</w:t>
      </w:r>
    </w:p>
    <w:p w:rsidR="009A529F" w:rsidRDefault="009A529F">
      <w:pPr>
        <w:widowControl w:val="0"/>
        <w:ind w:left="5954"/>
        <w:jc w:val="center"/>
        <w:rPr>
          <w:sz w:val="16"/>
        </w:rPr>
      </w:pPr>
    </w:p>
    <w:p w:rsidR="009A529F" w:rsidRDefault="0064526C">
      <w:pPr>
        <w:widowControl w:val="0"/>
        <w:ind w:left="5954"/>
        <w:jc w:val="center"/>
        <w:rPr>
          <w:sz w:val="22"/>
        </w:rPr>
      </w:pPr>
      <w:r>
        <w:rPr>
          <w:sz w:val="22"/>
        </w:rPr>
        <w:t>УТВЕРЖДЕНО</w:t>
      </w:r>
    </w:p>
    <w:p w:rsidR="009A529F" w:rsidRDefault="0064526C">
      <w:pPr>
        <w:widowControl w:val="0"/>
        <w:ind w:left="5954"/>
        <w:jc w:val="center"/>
        <w:rPr>
          <w:sz w:val="22"/>
        </w:rPr>
      </w:pPr>
      <w:r>
        <w:rPr>
          <w:sz w:val="22"/>
        </w:rPr>
        <w:t xml:space="preserve">постановлением Территориальной избирательной комиссии </w:t>
      </w:r>
      <w:r>
        <w:rPr>
          <w:sz w:val="22"/>
        </w:rPr>
        <w:t>города Таганрога (</w:t>
      </w:r>
      <w:proofErr w:type="gramStart"/>
      <w:r>
        <w:rPr>
          <w:sz w:val="22"/>
        </w:rPr>
        <w:t>восточная</w:t>
      </w:r>
      <w:proofErr w:type="gramEnd"/>
      <w:r>
        <w:rPr>
          <w:sz w:val="22"/>
        </w:rPr>
        <w:t xml:space="preserve">) Ростовской области </w:t>
      </w:r>
      <w:r>
        <w:rPr>
          <w:sz w:val="22"/>
        </w:rPr>
        <w:br/>
        <w:t>от 24.06.2025 № 152-2</w:t>
      </w:r>
    </w:p>
    <w:p w:rsidR="009A529F" w:rsidRDefault="009A529F">
      <w:pPr>
        <w:ind w:left="5670"/>
      </w:pPr>
    </w:p>
    <w:p w:rsidR="009A529F" w:rsidRDefault="0064526C">
      <w:pPr>
        <w:pStyle w:val="a5"/>
        <w:rPr>
          <w:b w:val="0"/>
        </w:rPr>
      </w:pPr>
      <w:r>
        <w:rPr>
          <w:b w:val="0"/>
        </w:rPr>
        <w:t xml:space="preserve">Положение о Рабочей группе Территориальной избирательной комиссии </w:t>
      </w:r>
      <w:r>
        <w:rPr>
          <w:b w:val="0"/>
        </w:rPr>
        <w:br/>
      </w:r>
      <w:r>
        <w:rPr>
          <w:b w:val="0"/>
        </w:rPr>
        <w:t xml:space="preserve"> города Таганрога (восточная)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>
        <w:rPr>
          <w:b w:val="0"/>
        </w:rPr>
        <w:t xml:space="preserve">при проведении </w:t>
      </w:r>
      <w:r>
        <w:rPr>
          <w:b w:val="0"/>
        </w:rPr>
        <w:br/>
        <w:t>выборов Губернатора Ростовской области</w:t>
      </w:r>
    </w:p>
    <w:p w:rsidR="009A529F" w:rsidRDefault="009A529F">
      <w:pPr>
        <w:pStyle w:val="af"/>
        <w:jc w:val="both"/>
        <w:rPr>
          <w:rFonts w:ascii="Times New Roman" w:hAnsi="Times New Roman"/>
          <w:sz w:val="28"/>
        </w:rPr>
      </w:pP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Настоящее Положение о Рабочей группе Территориальной избирательной комиссии города Таганрога (восточная) Ростовской области </w:t>
      </w:r>
      <w:r>
        <w:rPr>
          <w:rFonts w:ascii="Times New Roman" w:hAnsi="Times New Roman"/>
          <w:sz w:val="28"/>
        </w:rPr>
        <w:t>по рассмотрению жалоб (заявлений) на решения и действия (бездействие) нижестоящих избирательных комиссий 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</w:t>
      </w:r>
      <w:r>
        <w:rPr>
          <w:rFonts w:ascii="Times New Roman" w:hAnsi="Times New Roman"/>
          <w:sz w:val="28"/>
        </w:rPr>
        <w:t>ласти (далее – Положение) определяет порядок и формы деятельности Рабочей группы Территориальной избирательной комиссии города Таганрога (восточная) Ростовской области</w:t>
      </w:r>
      <w:proofErr w:type="gramEnd"/>
      <w:r>
        <w:rPr>
          <w:rFonts w:ascii="Times New Roman" w:hAnsi="Times New Roman"/>
          <w:sz w:val="28"/>
        </w:rPr>
        <w:t xml:space="preserve"> (далее – Комиссия) по рассмотрению жалоб (заявлений)                    на решения и дей</w:t>
      </w:r>
      <w:r>
        <w:rPr>
          <w:rFonts w:ascii="Times New Roman" w:hAnsi="Times New Roman"/>
          <w:sz w:val="28"/>
        </w:rPr>
        <w:t>ствия (бездействие) нижестоящих избирательных комиссий                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 (далее – Рабочая группа).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Раб</w:t>
      </w:r>
      <w:r>
        <w:rPr>
          <w:rFonts w:ascii="Times New Roman" w:hAnsi="Times New Roman"/>
          <w:sz w:val="28"/>
        </w:rPr>
        <w:t>очая группа в своей деятельности руководствуется Конституцией Российской Федерации, Федеральным законом от 12.06.2002 № 67-ФЗ                     «Об основных гарантиях избирательных прав и права на участие                                  в референдуме гр</w:t>
      </w:r>
      <w:r>
        <w:rPr>
          <w:rFonts w:ascii="Times New Roman" w:hAnsi="Times New Roman"/>
          <w:sz w:val="28"/>
        </w:rPr>
        <w:t>аждан Российской Федерации», Областным законом                          от 12.05.2016 № 525-ЗС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</w:t>
      </w:r>
      <w:r>
        <w:rPr>
          <w:rFonts w:ascii="Times New Roman" w:hAnsi="Times New Roman"/>
          <w:sz w:val="28"/>
        </w:rPr>
        <w:t>сти, постановлениями Комиссии, а также настоящим Положением.</w:t>
      </w:r>
      <w:proofErr w:type="gramEnd"/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компетенцию Рабочей группы входит рассмотрение и подготовка проектов решений по жалобам (заявлениям), поступающим в Комиссию, </w:t>
      </w:r>
      <w:r>
        <w:rPr>
          <w:rFonts w:ascii="Times New Roman" w:hAnsi="Times New Roman"/>
          <w:sz w:val="28"/>
        </w:rPr>
        <w:br/>
        <w:t>на решения и действия (бездействие) нижестоящих избирательных ком</w:t>
      </w:r>
      <w:r>
        <w:rPr>
          <w:rFonts w:ascii="Times New Roman" w:hAnsi="Times New Roman"/>
          <w:sz w:val="28"/>
        </w:rPr>
        <w:t xml:space="preserve">иссий </w:t>
      </w:r>
      <w:r>
        <w:rPr>
          <w:rFonts w:ascii="Times New Roman" w:hAnsi="Times New Roman"/>
          <w:sz w:val="28"/>
        </w:rPr>
        <w:br/>
        <w:t>и их должностных лиц, иных участников избирательного процесса, нарушающие избирательные права граждан при проведении выборов Губернатора Ростовской области.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Рабочая группа создается из числа членов Комиссии с правом решающего голоса. Персональный с</w:t>
      </w:r>
      <w:r>
        <w:rPr>
          <w:rFonts w:ascii="Times New Roman" w:hAnsi="Times New Roman"/>
          <w:sz w:val="28"/>
        </w:rPr>
        <w:t>остав Рабочей группы утверждается постановлением Комиссии. Данным постановлением назначается руководитель Рабочей группы и секретарь Рабочей группы.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По поручению председателя Комиссии, а в его отсутствие – </w:t>
      </w:r>
      <w:r>
        <w:rPr>
          <w:rFonts w:ascii="Times New Roman" w:hAnsi="Times New Roman"/>
          <w:sz w:val="28"/>
        </w:rPr>
        <w:br/>
        <w:t>по  поручению заместителя председателя Комиссии,</w:t>
      </w:r>
      <w:r>
        <w:rPr>
          <w:rFonts w:ascii="Times New Roman" w:hAnsi="Times New Roman"/>
          <w:sz w:val="28"/>
        </w:rPr>
        <w:t xml:space="preserve"> руководителя Рабочей группы, поступившая в Комиссию жалоба (заявление), рассматривается </w:t>
      </w:r>
      <w:r>
        <w:rPr>
          <w:rFonts w:ascii="Times New Roman" w:hAnsi="Times New Roman"/>
          <w:sz w:val="28"/>
        </w:rPr>
        <w:br/>
        <w:t xml:space="preserve">на заседании Рабочей группы. 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результатам рассмотрения Рабочей группой жалоб (заявлений), </w:t>
      </w:r>
      <w:r>
        <w:rPr>
          <w:rFonts w:ascii="Times New Roman" w:hAnsi="Times New Roman"/>
          <w:sz w:val="28"/>
        </w:rPr>
        <w:br/>
        <w:t>за исключением жалоб (заявлений) на решение Комиссии о признании кандид</w:t>
      </w:r>
      <w:r>
        <w:rPr>
          <w:rFonts w:ascii="Times New Roman" w:hAnsi="Times New Roman"/>
          <w:sz w:val="28"/>
        </w:rPr>
        <w:t xml:space="preserve">ата (кандидатов) утратившим статус кандидата (кандидатов), </w:t>
      </w:r>
      <w:r>
        <w:rPr>
          <w:rFonts w:ascii="Times New Roman" w:hAnsi="Times New Roman"/>
          <w:sz w:val="28"/>
        </w:rPr>
        <w:br/>
        <w:t>об отказе в регистрации кандидата, ответ заявителю дается руководителем Рабочей группы, а в его отсутствие – заместителем руководителя Рабочей группы или уполномоченным членом Рабочей группы. Прое</w:t>
      </w:r>
      <w:r>
        <w:rPr>
          <w:rFonts w:ascii="Times New Roman" w:hAnsi="Times New Roman"/>
          <w:sz w:val="28"/>
        </w:rPr>
        <w:t>кт ответа готовится членами Рабочей группы по поручению руководителя Рабочей группы, а в его отсутствие – заместителя руководителя Рабочей группы.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случаях, установленных законом, решение Рабочей группы                          и соответствующий проект п</w:t>
      </w:r>
      <w:r>
        <w:rPr>
          <w:rFonts w:ascii="Times New Roman" w:hAnsi="Times New Roman"/>
          <w:sz w:val="28"/>
        </w:rPr>
        <w:t>остановления Комиссии выносятся                                  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Заседания Рабочей группы проводятся по мере необходимости. 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заседаниях Рабочей группы вправе присутствовать, выступать </w:t>
      </w:r>
      <w:r>
        <w:rPr>
          <w:rFonts w:ascii="Times New Roman" w:hAnsi="Times New Roman"/>
          <w:sz w:val="28"/>
        </w:rPr>
        <w:br/>
        <w:t>и высказывать свое мнение члены Комиссии, участвующие в подготовке материалов к заседанию Рабочей группы.</w:t>
      </w:r>
    </w:p>
    <w:p w:rsidR="009A529F" w:rsidRDefault="0064526C">
      <w:pPr>
        <w:pStyle w:val="af"/>
        <w:tabs>
          <w:tab w:val="left" w:pos="851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рассмотрении жалобы (</w:t>
      </w:r>
      <w:r>
        <w:rPr>
          <w:rFonts w:ascii="Times New Roman" w:hAnsi="Times New Roman"/>
          <w:sz w:val="28"/>
        </w:rPr>
        <w:t xml:space="preserve">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</w:t>
      </w:r>
      <w:r>
        <w:rPr>
          <w:rFonts w:ascii="Times New Roman" w:hAnsi="Times New Roman"/>
          <w:sz w:val="28"/>
        </w:rPr>
        <w:br/>
        <w:t xml:space="preserve">их интересы. 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Руководитель Рабочей группы дает поручения о подготовке матери</w:t>
      </w:r>
      <w:r>
        <w:rPr>
          <w:rFonts w:ascii="Times New Roman" w:hAnsi="Times New Roman"/>
          <w:sz w:val="28"/>
        </w:rPr>
        <w:t>алов на заседание Рабочей группы, об оповещении ее членов и приглашенных лиц,                о времени и месте заседания Рабочей группы, председательствует                               на заседаниях Рабочей группы.</w:t>
      </w:r>
    </w:p>
    <w:p w:rsidR="009A529F" w:rsidRDefault="0064526C">
      <w:pPr>
        <w:pStyle w:val="af"/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отсутствие руководителя Рабочей группы</w:t>
      </w:r>
      <w:r>
        <w:rPr>
          <w:rFonts w:ascii="Times New Roman" w:hAnsi="Times New Roman"/>
          <w:sz w:val="28"/>
        </w:rPr>
        <w:t>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9A529F" w:rsidRDefault="0064526C">
      <w:pPr>
        <w:pStyle w:val="af"/>
        <w:tabs>
          <w:tab w:val="left" w:pos="851"/>
          <w:tab w:val="left" w:pos="993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Рабочей группы организует делопроизводство в Рабочей группе.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Подготовка к заседаниям Рабочей гру</w:t>
      </w:r>
      <w:r>
        <w:rPr>
          <w:rFonts w:ascii="Times New Roman" w:hAnsi="Times New Roman"/>
          <w:sz w:val="28"/>
        </w:rPr>
        <w:t xml:space="preserve">ппы ведется в соответствии </w:t>
      </w:r>
      <w:r>
        <w:rPr>
          <w:rFonts w:ascii="Times New Roman" w:hAnsi="Times New Roman"/>
          <w:sz w:val="28"/>
        </w:rPr>
        <w:br/>
        <w:t xml:space="preserve">с поручениями Руководителя Рабочей группы членами Рабочей группы,  </w:t>
      </w:r>
      <w:r>
        <w:rPr>
          <w:rFonts w:ascii="Times New Roman" w:hAnsi="Times New Roman"/>
          <w:sz w:val="28"/>
        </w:rPr>
        <w:br/>
        <w:t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</w:t>
      </w:r>
      <w:r>
        <w:rPr>
          <w:rFonts w:ascii="Times New Roman" w:hAnsi="Times New Roman"/>
          <w:sz w:val="28"/>
        </w:rPr>
        <w:t>кт решения Рабочей группы по рассматриваемой жалобе (заявлению), а в необходимых случаях – соответствующие заключения.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Решение о проведении дополнительной проверки по жалобе (заявлению) принимается руководителем Рабочей группы, в случае необходимости выез</w:t>
      </w:r>
      <w:r>
        <w:rPr>
          <w:rFonts w:ascii="Times New Roman" w:hAnsi="Times New Roman"/>
          <w:sz w:val="28"/>
        </w:rPr>
        <w:t>да членов Рабочей группы, принимается председателем Комиссии по предложению Рабочей группы, вносимому ее руководителем.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9A529F" w:rsidRDefault="0064526C">
      <w:pPr>
        <w:pStyle w:val="af"/>
        <w:tabs>
          <w:tab w:val="left" w:pos="851"/>
        </w:tabs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</w:t>
      </w:r>
      <w:r>
        <w:rPr>
          <w:rFonts w:ascii="Times New Roman" w:hAnsi="Times New Roman"/>
          <w:sz w:val="28"/>
        </w:rPr>
        <w:t xml:space="preserve">шение Рабочей группы принимается большинством голосов от числа присутствующих на заседании членов Рабочей группы открытым </w:t>
      </w:r>
      <w:r>
        <w:rPr>
          <w:rFonts w:ascii="Times New Roman" w:hAnsi="Times New Roman"/>
          <w:sz w:val="28"/>
        </w:rPr>
        <w:lastRenderedPageBreak/>
        <w:t>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9A529F" w:rsidRDefault="0064526C">
      <w:pPr>
        <w:pStyle w:val="af"/>
        <w:tabs>
          <w:tab w:val="left" w:pos="851"/>
        </w:tabs>
        <w:ind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Пр</w:t>
      </w:r>
      <w:r>
        <w:rPr>
          <w:rFonts w:ascii="Times New Roman" w:hAnsi="Times New Roman"/>
          <w:sz w:val="28"/>
        </w:rPr>
        <w:t xml:space="preserve">одолжительность выступлений на заседании Рабочей группы устанавливается руководителем Рабочей группы (председательствующим </w:t>
      </w:r>
      <w:r>
        <w:rPr>
          <w:rFonts w:ascii="Times New Roman" w:hAnsi="Times New Roman"/>
          <w:sz w:val="28"/>
        </w:rPr>
        <w:br/>
        <w:t xml:space="preserve">на заседании) по согласованию с докладчиком и не должна превышать: </w:t>
      </w:r>
      <w:r>
        <w:rPr>
          <w:rFonts w:ascii="Times New Roman" w:hAnsi="Times New Roman"/>
          <w:sz w:val="28"/>
        </w:rPr>
        <w:br/>
        <w:t>для доклада и выступлений заинтересованных лиц и их представител</w:t>
      </w:r>
      <w:r>
        <w:rPr>
          <w:rFonts w:ascii="Times New Roman" w:hAnsi="Times New Roman"/>
          <w:sz w:val="28"/>
        </w:rPr>
        <w:t xml:space="preserve">ей </w:t>
      </w:r>
      <w:r>
        <w:rPr>
          <w:rFonts w:ascii="Times New Roman" w:hAnsi="Times New Roman"/>
          <w:sz w:val="28"/>
        </w:rPr>
        <w:br/>
        <w:t xml:space="preserve">в случае их участия в заседании - 10 минут; для докладов и иных выступлений членов Рабочей группы - 5 минут; для оглашения информации, </w:t>
      </w:r>
      <w:r>
        <w:rPr>
          <w:rFonts w:ascii="Times New Roman" w:hAnsi="Times New Roman"/>
          <w:sz w:val="28"/>
        </w:rPr>
        <w:br/>
        <w:t>обращений - 3 минуты.</w:t>
      </w:r>
      <w:proofErr w:type="gramEnd"/>
      <w:r>
        <w:rPr>
          <w:rFonts w:ascii="Times New Roman" w:hAnsi="Times New Roman"/>
          <w:sz w:val="28"/>
        </w:rPr>
        <w:t xml:space="preserve"> Рабочая группа вправе принять решение                                     о предоставлении доп</w:t>
      </w:r>
      <w:r>
        <w:rPr>
          <w:rFonts w:ascii="Times New Roman" w:hAnsi="Times New Roman"/>
          <w:sz w:val="28"/>
        </w:rPr>
        <w:t xml:space="preserve">олнительного времени докладчику </w:t>
      </w:r>
      <w:r>
        <w:rPr>
          <w:rFonts w:ascii="Times New Roman" w:hAnsi="Times New Roman"/>
          <w:sz w:val="28"/>
        </w:rPr>
        <w:br/>
        <w:t>и заинтересованным сторонам.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</w:t>
      </w:r>
      <w:r>
        <w:rPr>
          <w:rFonts w:ascii="Times New Roman" w:hAnsi="Times New Roman"/>
          <w:sz w:val="28"/>
        </w:rPr>
        <w:t>секретарем.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Решения по жалобам (заявлениям), поступившим до дня голосования </w:t>
      </w:r>
      <w:r>
        <w:rPr>
          <w:rFonts w:ascii="Times New Roman" w:hAnsi="Times New Roman"/>
          <w:sz w:val="28"/>
        </w:rPr>
        <w:br/>
        <w:t xml:space="preserve">в период избирательной кампании, принимаются в пятидневный срок, </w:t>
      </w:r>
      <w:r>
        <w:rPr>
          <w:rFonts w:ascii="Times New Roman" w:hAnsi="Times New Roman"/>
          <w:sz w:val="28"/>
        </w:rPr>
        <w:br/>
        <w:t>но не позднее дня, предшествующего дню голосования, а в день голосования или в день, следующий за днем голосован</w:t>
      </w:r>
      <w:r>
        <w:rPr>
          <w:rFonts w:ascii="Times New Roman" w:hAnsi="Times New Roman"/>
          <w:sz w:val="28"/>
        </w:rPr>
        <w:t xml:space="preserve">ия, - немедленно. В случае, </w:t>
      </w:r>
      <w:r>
        <w:rPr>
          <w:rFonts w:ascii="Times New Roman" w:hAnsi="Times New Roman"/>
          <w:sz w:val="28"/>
        </w:rPr>
        <w:br/>
        <w:t>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случае необходимости рассмотрения жалобы (заявления)                          </w:t>
      </w:r>
      <w:r>
        <w:rPr>
          <w:rFonts w:ascii="Times New Roman" w:hAnsi="Times New Roman"/>
          <w:sz w:val="28"/>
        </w:rPr>
        <w:t xml:space="preserve">  на заседании Комиссии, на основании принятых Рабочей группой рекомендаций, представляется на согласование соответствующий проект постановления Комиссии.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Документы Рабочей группы по рассмотрению жалоб (заявлений) хранятся в архиве Комиссии в течение срок</w:t>
      </w:r>
      <w:r>
        <w:rPr>
          <w:rFonts w:ascii="Times New Roman" w:hAnsi="Times New Roman"/>
          <w:sz w:val="28"/>
        </w:rPr>
        <w:t xml:space="preserve">ов, установленных номенклатурой дел. </w:t>
      </w:r>
    </w:p>
    <w:p w:rsidR="009A529F" w:rsidRDefault="0064526C">
      <w:pPr>
        <w:pStyle w:val="af"/>
        <w:numPr>
          <w:ilvl w:val="0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По решению руководителя Рабочей группы заседание Рабочей группы может проводиться в режиме видеоконференции. При этом должна быть обеспечена возможность участия в заседании заинтересованных лиц </w:t>
      </w:r>
      <w:r>
        <w:rPr>
          <w:rFonts w:ascii="Times New Roman" w:hAnsi="Times New Roman"/>
          <w:sz w:val="28"/>
        </w:rPr>
        <w:br/>
        <w:t>и их представителей.</w:t>
      </w:r>
    </w:p>
    <w:p w:rsidR="009A529F" w:rsidRDefault="009A529F">
      <w:pPr>
        <w:widowControl w:val="0"/>
        <w:tabs>
          <w:tab w:val="left" w:pos="993"/>
        </w:tabs>
        <w:ind w:firstLine="567"/>
        <w:jc w:val="center"/>
      </w:pPr>
    </w:p>
    <w:p w:rsidR="009A529F" w:rsidRDefault="009A529F">
      <w:pPr>
        <w:widowControl w:val="0"/>
        <w:ind w:firstLine="491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954"/>
        <w:jc w:val="center"/>
        <w:rPr>
          <w:sz w:val="24"/>
        </w:rPr>
      </w:pPr>
    </w:p>
    <w:p w:rsidR="009A529F" w:rsidRDefault="009A529F">
      <w:pPr>
        <w:widowControl w:val="0"/>
        <w:ind w:left="5954"/>
        <w:jc w:val="center"/>
        <w:rPr>
          <w:sz w:val="24"/>
        </w:rPr>
      </w:pPr>
    </w:p>
    <w:p w:rsidR="009A529F" w:rsidRDefault="009A529F">
      <w:pPr>
        <w:widowControl w:val="0"/>
        <w:ind w:left="5954"/>
        <w:jc w:val="center"/>
        <w:rPr>
          <w:sz w:val="24"/>
        </w:rPr>
      </w:pPr>
    </w:p>
    <w:p w:rsidR="009A529F" w:rsidRDefault="009A529F">
      <w:pPr>
        <w:widowControl w:val="0"/>
        <w:ind w:left="5954"/>
        <w:jc w:val="center"/>
        <w:rPr>
          <w:sz w:val="24"/>
        </w:rPr>
      </w:pPr>
    </w:p>
    <w:p w:rsidR="009A529F" w:rsidRDefault="009A529F">
      <w:pPr>
        <w:widowControl w:val="0"/>
        <w:ind w:left="5954"/>
        <w:jc w:val="center"/>
        <w:rPr>
          <w:sz w:val="24"/>
        </w:rPr>
      </w:pPr>
    </w:p>
    <w:p w:rsidR="009A529F" w:rsidRDefault="0064526C">
      <w:pPr>
        <w:widowControl w:val="0"/>
        <w:ind w:left="5954"/>
        <w:jc w:val="center"/>
        <w:rPr>
          <w:sz w:val="22"/>
        </w:rPr>
      </w:pPr>
      <w:r>
        <w:rPr>
          <w:sz w:val="22"/>
        </w:rPr>
        <w:t>Приложение № 2</w:t>
      </w:r>
    </w:p>
    <w:p w:rsidR="009A529F" w:rsidRDefault="009A529F">
      <w:pPr>
        <w:widowControl w:val="0"/>
        <w:ind w:left="5954"/>
        <w:jc w:val="center"/>
        <w:rPr>
          <w:sz w:val="16"/>
        </w:rPr>
      </w:pPr>
    </w:p>
    <w:p w:rsidR="009A529F" w:rsidRDefault="0064526C">
      <w:pPr>
        <w:widowControl w:val="0"/>
        <w:ind w:left="5954"/>
        <w:jc w:val="center"/>
        <w:rPr>
          <w:sz w:val="22"/>
        </w:rPr>
      </w:pPr>
      <w:r>
        <w:rPr>
          <w:sz w:val="22"/>
        </w:rPr>
        <w:t>УТВЕРЖДЕН</w:t>
      </w:r>
    </w:p>
    <w:p w:rsidR="009A529F" w:rsidRDefault="0064526C">
      <w:pPr>
        <w:widowControl w:val="0"/>
        <w:ind w:left="5954"/>
        <w:jc w:val="center"/>
        <w:rPr>
          <w:sz w:val="22"/>
        </w:rPr>
      </w:pPr>
      <w:r>
        <w:rPr>
          <w:sz w:val="22"/>
        </w:rPr>
        <w:t xml:space="preserve">постановлением Территориальной избирательной комиссии </w:t>
      </w:r>
    </w:p>
    <w:p w:rsidR="009A529F" w:rsidRDefault="0064526C">
      <w:pPr>
        <w:widowControl w:val="0"/>
        <w:ind w:left="5954"/>
        <w:jc w:val="center"/>
        <w:rPr>
          <w:sz w:val="24"/>
        </w:rPr>
      </w:pPr>
      <w:r>
        <w:rPr>
          <w:sz w:val="22"/>
        </w:rPr>
        <w:t>города Таганрога (</w:t>
      </w:r>
      <w:proofErr w:type="gramStart"/>
      <w:r>
        <w:rPr>
          <w:sz w:val="22"/>
        </w:rPr>
        <w:t>восточная</w:t>
      </w:r>
      <w:proofErr w:type="gramEnd"/>
      <w:r>
        <w:rPr>
          <w:sz w:val="22"/>
        </w:rPr>
        <w:t>) Ростовской области</w:t>
      </w:r>
      <w:r>
        <w:rPr>
          <w:sz w:val="22"/>
        </w:rPr>
        <w:br/>
        <w:t>от 24.06.2025 № 152-</w:t>
      </w:r>
      <w:r>
        <w:rPr>
          <w:sz w:val="24"/>
        </w:rPr>
        <w:t>2</w:t>
      </w:r>
    </w:p>
    <w:p w:rsidR="009A529F" w:rsidRDefault="009A529F">
      <w:pPr>
        <w:widowControl w:val="0"/>
        <w:jc w:val="right"/>
      </w:pPr>
    </w:p>
    <w:p w:rsidR="009A529F" w:rsidRDefault="0064526C">
      <w:pPr>
        <w:jc w:val="center"/>
      </w:pPr>
      <w:r>
        <w:t xml:space="preserve">Состав Рабочей группы Территориальной избирательной комиссии города Таганрога </w:t>
      </w:r>
      <w:r>
        <w:t>(восточная)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</w:t>
      </w:r>
      <w:r>
        <w:t>оров Губернатора Ростовской области</w:t>
      </w:r>
    </w:p>
    <w:p w:rsidR="009A529F" w:rsidRDefault="009A529F">
      <w:pPr>
        <w:jc w:val="center"/>
        <w:rPr>
          <w:b/>
        </w:rPr>
      </w:pPr>
    </w:p>
    <w:p w:rsidR="009A529F" w:rsidRDefault="0064526C">
      <w:pPr>
        <w:ind w:right="282" w:firstLine="709"/>
        <w:jc w:val="both"/>
      </w:pPr>
      <w:r>
        <w:t>Руководитель Рабочей группы:</w:t>
      </w:r>
    </w:p>
    <w:p w:rsidR="009A529F" w:rsidRDefault="009A529F">
      <w:pPr>
        <w:ind w:right="282" w:firstLine="709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6"/>
        <w:gridCol w:w="310"/>
        <w:gridCol w:w="4785"/>
      </w:tblGrid>
      <w:tr w:rsidR="009A529F">
        <w:tc>
          <w:tcPr>
            <w:tcW w:w="4476" w:type="dxa"/>
          </w:tcPr>
          <w:p w:rsidR="009A529F" w:rsidRDefault="0064526C">
            <w:pPr>
              <w:jc w:val="both"/>
            </w:pPr>
            <w:proofErr w:type="spellStart"/>
            <w:r>
              <w:t>Линник</w:t>
            </w:r>
            <w:proofErr w:type="spellEnd"/>
            <w:r>
              <w:t xml:space="preserve"> Наталия Анатольевна</w:t>
            </w:r>
          </w:p>
        </w:tc>
        <w:tc>
          <w:tcPr>
            <w:tcW w:w="310" w:type="dxa"/>
          </w:tcPr>
          <w:p w:rsidR="009A529F" w:rsidRDefault="0064526C">
            <w:pPr>
              <w:jc w:val="both"/>
            </w:pPr>
            <w:r>
              <w:t>-</w:t>
            </w:r>
          </w:p>
        </w:tc>
        <w:tc>
          <w:tcPr>
            <w:tcW w:w="4785" w:type="dxa"/>
          </w:tcPr>
          <w:p w:rsidR="009A529F" w:rsidRDefault="0064526C">
            <w:pPr>
              <w:contextualSpacing/>
              <w:rPr>
                <w:sz w:val="26"/>
              </w:rPr>
            </w:pPr>
            <w:r>
              <w:rPr>
                <w:sz w:val="26"/>
              </w:rPr>
              <w:t>член Территориальной избирательной комиссии города Таганрога (восточная) Ростовской области с правом решающего голоса</w:t>
            </w:r>
          </w:p>
          <w:p w:rsidR="009A529F" w:rsidRDefault="009A529F">
            <w:pPr>
              <w:contextualSpacing/>
              <w:rPr>
                <w:sz w:val="26"/>
              </w:rPr>
            </w:pPr>
          </w:p>
        </w:tc>
      </w:tr>
    </w:tbl>
    <w:p w:rsidR="009A529F" w:rsidRDefault="0064526C">
      <w:pPr>
        <w:ind w:right="282" w:firstLine="709"/>
        <w:jc w:val="both"/>
      </w:pPr>
      <w:r>
        <w:t>Заместитель руководителя Рабочей группы:</w:t>
      </w:r>
    </w:p>
    <w:p w:rsidR="009A529F" w:rsidRDefault="009A529F">
      <w:pPr>
        <w:ind w:right="282" w:firstLine="709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6"/>
        <w:gridCol w:w="310"/>
        <w:gridCol w:w="4961"/>
      </w:tblGrid>
      <w:tr w:rsidR="009A529F">
        <w:trPr>
          <w:trHeight w:val="1282"/>
        </w:trPr>
        <w:tc>
          <w:tcPr>
            <w:tcW w:w="4476" w:type="dxa"/>
          </w:tcPr>
          <w:p w:rsidR="009A529F" w:rsidRDefault="0064526C">
            <w:r>
              <w:t xml:space="preserve">Пономарев Александр Владимирович </w:t>
            </w:r>
          </w:p>
        </w:tc>
        <w:tc>
          <w:tcPr>
            <w:tcW w:w="310" w:type="dxa"/>
          </w:tcPr>
          <w:p w:rsidR="009A529F" w:rsidRDefault="0064526C">
            <w:pPr>
              <w:jc w:val="center"/>
            </w:pPr>
            <w:r>
              <w:t>-</w:t>
            </w:r>
          </w:p>
        </w:tc>
        <w:tc>
          <w:tcPr>
            <w:tcW w:w="4961" w:type="dxa"/>
          </w:tcPr>
          <w:p w:rsidR="009A529F" w:rsidRDefault="0064526C">
            <w:pPr>
              <w:contextualSpacing/>
              <w:rPr>
                <w:sz w:val="26"/>
              </w:rPr>
            </w:pPr>
            <w:r>
              <w:rPr>
                <w:sz w:val="26"/>
              </w:rPr>
              <w:t>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9A529F" w:rsidRDefault="0064526C">
      <w:pPr>
        <w:ind w:right="282" w:firstLine="709"/>
        <w:jc w:val="both"/>
      </w:pPr>
      <w:r>
        <w:t>Секретарь Рабочей группы:</w:t>
      </w:r>
    </w:p>
    <w:p w:rsidR="009A529F" w:rsidRDefault="009A529F">
      <w:pPr>
        <w:ind w:right="282" w:firstLine="709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3"/>
        <w:gridCol w:w="267"/>
        <w:gridCol w:w="4801"/>
      </w:tblGrid>
      <w:tr w:rsidR="009A529F">
        <w:trPr>
          <w:trHeight w:val="697"/>
        </w:trPr>
        <w:tc>
          <w:tcPr>
            <w:tcW w:w="4503" w:type="dxa"/>
          </w:tcPr>
          <w:p w:rsidR="009A529F" w:rsidRDefault="0064526C">
            <w:pPr>
              <w:jc w:val="both"/>
            </w:pPr>
            <w:proofErr w:type="spellStart"/>
            <w:r>
              <w:t>Балаев</w:t>
            </w:r>
            <w:proofErr w:type="spellEnd"/>
            <w:r>
              <w:t xml:space="preserve"> Александр Сергеевич</w:t>
            </w:r>
          </w:p>
        </w:tc>
        <w:tc>
          <w:tcPr>
            <w:tcW w:w="267" w:type="dxa"/>
          </w:tcPr>
          <w:p w:rsidR="009A529F" w:rsidRDefault="0064526C">
            <w:pPr>
              <w:jc w:val="both"/>
            </w:pPr>
            <w:r>
              <w:t>-</w:t>
            </w:r>
          </w:p>
        </w:tc>
        <w:tc>
          <w:tcPr>
            <w:tcW w:w="4801" w:type="dxa"/>
          </w:tcPr>
          <w:p w:rsidR="009A529F" w:rsidRDefault="0064526C">
            <w:pPr>
              <w:contextualSpacing/>
              <w:rPr>
                <w:sz w:val="26"/>
              </w:rPr>
            </w:pPr>
            <w:r>
              <w:rPr>
                <w:sz w:val="26"/>
              </w:rPr>
              <w:t>член Территориальной избирательной комиссии</w:t>
            </w:r>
            <w:r>
              <w:rPr>
                <w:sz w:val="26"/>
              </w:rPr>
              <w:t xml:space="preserve"> города Таганрога (восточная) Ростовской области с правом решающего голоса</w:t>
            </w:r>
          </w:p>
        </w:tc>
      </w:tr>
    </w:tbl>
    <w:p w:rsidR="009A529F" w:rsidRDefault="0064526C">
      <w:pPr>
        <w:ind w:right="282" w:firstLine="709"/>
        <w:jc w:val="both"/>
      </w:pPr>
      <w:r>
        <w:t>Член Рабочей группы:</w:t>
      </w:r>
    </w:p>
    <w:p w:rsidR="009A529F" w:rsidRDefault="009A529F">
      <w:pPr>
        <w:ind w:right="282" w:firstLine="709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479"/>
        <w:gridCol w:w="310"/>
        <w:gridCol w:w="4782"/>
      </w:tblGrid>
      <w:tr w:rsidR="009A529F">
        <w:tc>
          <w:tcPr>
            <w:tcW w:w="4479" w:type="dxa"/>
          </w:tcPr>
          <w:p w:rsidR="009A529F" w:rsidRDefault="0064526C">
            <w:pPr>
              <w:jc w:val="both"/>
            </w:pPr>
            <w:r>
              <w:t xml:space="preserve">Перевозчиков Иосиф </w:t>
            </w:r>
            <w:proofErr w:type="spellStart"/>
            <w:r>
              <w:t>Шотаевич</w:t>
            </w:r>
            <w:proofErr w:type="spellEnd"/>
          </w:p>
        </w:tc>
        <w:tc>
          <w:tcPr>
            <w:tcW w:w="310" w:type="dxa"/>
          </w:tcPr>
          <w:p w:rsidR="009A529F" w:rsidRDefault="0064526C">
            <w:pPr>
              <w:jc w:val="both"/>
            </w:pPr>
            <w:r>
              <w:t>-</w:t>
            </w:r>
          </w:p>
        </w:tc>
        <w:tc>
          <w:tcPr>
            <w:tcW w:w="4782" w:type="dxa"/>
          </w:tcPr>
          <w:p w:rsidR="009A529F" w:rsidRDefault="0064526C">
            <w:pPr>
              <w:contextualSpacing/>
              <w:rPr>
                <w:sz w:val="26"/>
              </w:rPr>
            </w:pPr>
            <w:r>
              <w:rPr>
                <w:sz w:val="26"/>
              </w:rPr>
              <w:t>член Территориальной избирательной комиссии города Таганрога (восточная) Ростовской области с правом решающего голоса</w:t>
            </w:r>
          </w:p>
        </w:tc>
      </w:tr>
    </w:tbl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p w:rsidR="009A529F" w:rsidRDefault="009A529F">
      <w:pPr>
        <w:widowControl w:val="0"/>
        <w:ind w:left="5812"/>
        <w:jc w:val="center"/>
      </w:pPr>
    </w:p>
    <w:sectPr w:rsidR="009A529F">
      <w:pgSz w:w="11907" w:h="16840"/>
      <w:pgMar w:top="567" w:right="851" w:bottom="567" w:left="1418" w:header="567" w:footer="1134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B38AC"/>
    <w:multiLevelType w:val="multilevel"/>
    <w:tmpl w:val="95508398"/>
    <w:lvl w:ilvl="0">
      <w:start w:val="1"/>
      <w:numFmt w:val="decimal"/>
      <w:lvlText w:val="%1."/>
      <w:lvlJc w:val="left"/>
      <w:pPr>
        <w:widowControl/>
        <w:ind w:left="1069" w:hanging="360"/>
      </w:pPr>
    </w:lvl>
    <w:lvl w:ilvl="1">
      <w:start w:val="1"/>
      <w:numFmt w:val="decimal"/>
      <w:lvlText w:val="%1.%2."/>
      <w:lvlJc w:val="left"/>
      <w:pPr>
        <w:widowControl/>
        <w:ind w:left="1429" w:hanging="720"/>
      </w:pPr>
    </w:lvl>
    <w:lvl w:ilvl="2">
      <w:start w:val="1"/>
      <w:numFmt w:val="decimal"/>
      <w:lvlText w:val="%1.%2.%3."/>
      <w:lvlJc w:val="left"/>
      <w:pPr>
        <w:widowControl/>
        <w:ind w:left="1429" w:hanging="720"/>
      </w:pPr>
    </w:lvl>
    <w:lvl w:ilvl="3">
      <w:start w:val="1"/>
      <w:numFmt w:val="decimal"/>
      <w:lvlText w:val="%1.%2.%3.%4."/>
      <w:lvlJc w:val="left"/>
      <w:pPr>
        <w:widowControl/>
        <w:ind w:left="1789" w:hanging="1080"/>
      </w:pPr>
    </w:lvl>
    <w:lvl w:ilvl="4">
      <w:start w:val="1"/>
      <w:numFmt w:val="decimal"/>
      <w:lvlText w:val="%1.%2.%3.%4.%5."/>
      <w:lvlJc w:val="left"/>
      <w:pPr>
        <w:widowControl/>
        <w:ind w:left="1789" w:hanging="1080"/>
      </w:pPr>
    </w:lvl>
    <w:lvl w:ilvl="5">
      <w:start w:val="1"/>
      <w:numFmt w:val="decimal"/>
      <w:lvlText w:val="%1.%2.%3.%4.%5.%6."/>
      <w:lvlJc w:val="left"/>
      <w:pPr>
        <w:widowControl/>
        <w:ind w:left="2149" w:hanging="1440"/>
      </w:pPr>
    </w:lvl>
    <w:lvl w:ilvl="6">
      <w:start w:val="1"/>
      <w:numFmt w:val="decimal"/>
      <w:lvlText w:val="%1.%2.%3.%4.%5.%6.%7."/>
      <w:lvlJc w:val="left"/>
      <w:pPr>
        <w:widowControl/>
        <w:ind w:left="2509" w:hanging="1800"/>
      </w:pPr>
    </w:lvl>
    <w:lvl w:ilvl="7">
      <w:start w:val="1"/>
      <w:numFmt w:val="decimal"/>
      <w:lvlText w:val="%1.%2.%3.%4.%5.%6.%7.%8."/>
      <w:lvlJc w:val="left"/>
      <w:pPr>
        <w:widowControl/>
        <w:ind w:left="2509" w:hanging="1800"/>
      </w:pPr>
    </w:lvl>
    <w:lvl w:ilvl="8">
      <w:start w:val="1"/>
      <w:numFmt w:val="decimal"/>
      <w:lvlText w:val="%1.%2.%3.%4.%5.%6.%7.%8.%9."/>
      <w:lvlJc w:val="left"/>
      <w:pPr>
        <w:widowControl/>
        <w:ind w:left="2869" w:hanging="2160"/>
      </w:pPr>
    </w:lvl>
  </w:abstractNum>
  <w:abstractNum w:abstractNumId="1">
    <w:nsid w:val="6C0B261F"/>
    <w:multiLevelType w:val="multilevel"/>
    <w:tmpl w:val="4B2671C2"/>
    <w:lvl w:ilvl="0">
      <w:start w:val="1"/>
      <w:numFmt w:val="decimal"/>
      <w:lvlText w:val="%1."/>
      <w:lvlJc w:val="left"/>
      <w:pPr>
        <w:widowControl/>
        <w:ind w:left="360" w:hanging="360"/>
      </w:pPr>
    </w:lvl>
    <w:lvl w:ilvl="1">
      <w:start w:val="1"/>
      <w:numFmt w:val="lowerLetter"/>
      <w:lvlText w:val="%2."/>
      <w:lvlJc w:val="left"/>
      <w:pPr>
        <w:widowControl/>
        <w:ind w:left="1080" w:hanging="360"/>
      </w:pPr>
    </w:lvl>
    <w:lvl w:ilvl="2">
      <w:start w:val="1"/>
      <w:numFmt w:val="lowerRoman"/>
      <w:lvlText w:val="%3."/>
      <w:lvlJc w:val="right"/>
      <w:pPr>
        <w:widowControl/>
        <w:ind w:left="1800" w:hanging="180"/>
      </w:pPr>
    </w:lvl>
    <w:lvl w:ilvl="3">
      <w:start w:val="1"/>
      <w:numFmt w:val="decimal"/>
      <w:lvlText w:val="%4."/>
      <w:lvlJc w:val="left"/>
      <w:pPr>
        <w:widowControl/>
        <w:ind w:left="2520" w:hanging="360"/>
      </w:pPr>
    </w:lvl>
    <w:lvl w:ilvl="4">
      <w:start w:val="1"/>
      <w:numFmt w:val="lowerLetter"/>
      <w:lvlText w:val="%5."/>
      <w:lvlJc w:val="left"/>
      <w:pPr>
        <w:widowControl/>
        <w:ind w:left="3240" w:hanging="360"/>
      </w:pPr>
    </w:lvl>
    <w:lvl w:ilvl="5">
      <w:start w:val="1"/>
      <w:numFmt w:val="lowerRoman"/>
      <w:lvlText w:val="%6."/>
      <w:lvlJc w:val="right"/>
      <w:pPr>
        <w:widowControl/>
        <w:ind w:left="3960" w:hanging="180"/>
      </w:pPr>
    </w:lvl>
    <w:lvl w:ilvl="6">
      <w:start w:val="1"/>
      <w:numFmt w:val="decimal"/>
      <w:lvlText w:val="%7."/>
      <w:lvlJc w:val="left"/>
      <w:pPr>
        <w:widowControl/>
        <w:ind w:left="4680" w:hanging="360"/>
      </w:pPr>
    </w:lvl>
    <w:lvl w:ilvl="7">
      <w:start w:val="1"/>
      <w:numFmt w:val="lowerLetter"/>
      <w:lvlText w:val="%8."/>
      <w:lvlJc w:val="left"/>
      <w:pPr>
        <w:widowControl/>
        <w:ind w:left="5400" w:hanging="360"/>
      </w:pPr>
    </w:lvl>
    <w:lvl w:ilvl="8">
      <w:start w:val="1"/>
      <w:numFmt w:val="lowerRoman"/>
      <w:lvlText w:val="%9."/>
      <w:lvlJc w:val="right"/>
      <w:pPr>
        <w:widowControl/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A529F"/>
    <w:rsid w:val="0064526C"/>
    <w:rsid w:val="009A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a5">
    <w:name w:val="Содерж"/>
    <w:basedOn w:val="a"/>
    <w:link w:val="a6"/>
    <w:pPr>
      <w:keepNext/>
      <w:spacing w:after="120"/>
      <w:jc w:val="center"/>
    </w:pPr>
    <w:rPr>
      <w:b/>
    </w:rPr>
  </w:style>
  <w:style w:type="character" w:customStyle="1" w:styleId="a6">
    <w:name w:val="Содерж"/>
    <w:basedOn w:val="1"/>
    <w:link w:val="a5"/>
    <w:rPr>
      <w:b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7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1"/>
    <w:link w:val="a7"/>
    <w:rPr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Основной шрифт абзаца1"/>
    <w:link w:val="a8"/>
  </w:style>
  <w:style w:type="paragraph" w:styleId="a8">
    <w:name w:val="Body Text"/>
    <w:basedOn w:val="a"/>
    <w:link w:val="a9"/>
    <w:pPr>
      <w:spacing w:line="360" w:lineRule="auto"/>
      <w:jc w:val="both"/>
    </w:pPr>
  </w:style>
  <w:style w:type="character" w:customStyle="1" w:styleId="a9">
    <w:name w:val="Основной текст Знак"/>
    <w:basedOn w:val="1"/>
    <w:link w:val="a8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14">
    <w:name w:val="Загл.14"/>
    <w:basedOn w:val="a"/>
    <w:link w:val="140"/>
    <w:pPr>
      <w:widowControl w:val="0"/>
      <w:jc w:val="center"/>
    </w:pPr>
    <w:rPr>
      <w:b/>
    </w:rPr>
  </w:style>
  <w:style w:type="character" w:customStyle="1" w:styleId="140">
    <w:name w:val="Загл.14"/>
    <w:basedOn w:val="1"/>
    <w:link w:val="14"/>
    <w:rPr>
      <w:b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customStyle="1" w:styleId="15">
    <w:name w:val="Знак сноски1"/>
    <w:link w:val="aa"/>
    <w:rPr>
      <w:vertAlign w:val="superscript"/>
    </w:rPr>
  </w:style>
  <w:style w:type="character" w:styleId="aa">
    <w:name w:val="footnote reference"/>
    <w:link w:val="15"/>
    <w:rPr>
      <w:vertAlign w:val="superscript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6">
    <w:name w:val="Заголовочек 1"/>
    <w:basedOn w:val="a"/>
    <w:link w:val="17"/>
    <w:pPr>
      <w:spacing w:line="360" w:lineRule="auto"/>
      <w:jc w:val="center"/>
    </w:pPr>
    <w:rPr>
      <w:b/>
      <w:smallCaps/>
      <w:spacing w:val="60"/>
    </w:rPr>
  </w:style>
  <w:style w:type="character" w:customStyle="1" w:styleId="17">
    <w:name w:val="Заголовочек 1"/>
    <w:basedOn w:val="1"/>
    <w:link w:val="16"/>
    <w:rPr>
      <w:b/>
      <w:smallCaps/>
      <w:spacing w:val="60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"/>
    <w:link w:val="ab"/>
    <w:rPr>
      <w:rFonts w:ascii="Tahoma" w:hAnsi="Tahoma"/>
      <w:sz w:val="16"/>
    </w:rPr>
  </w:style>
  <w:style w:type="paragraph" w:customStyle="1" w:styleId="19">
    <w:name w:val="Гиперссылка1"/>
    <w:link w:val="ac"/>
    <w:rPr>
      <w:color w:val="0000FF"/>
      <w:u w:val="single"/>
    </w:rPr>
  </w:style>
  <w:style w:type="character" w:styleId="ac">
    <w:name w:val="Hyperlink"/>
    <w:link w:val="19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c">
    <w:name w:val="Стиль1"/>
    <w:basedOn w:val="a"/>
    <w:link w:val="1d"/>
  </w:style>
  <w:style w:type="character" w:customStyle="1" w:styleId="1d">
    <w:name w:val="Стиль1"/>
    <w:basedOn w:val="1"/>
    <w:link w:val="1c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d">
    <w:name w:val="Адресат"/>
    <w:basedOn w:val="a"/>
    <w:link w:val="ae"/>
    <w:pPr>
      <w:ind w:left="3969"/>
      <w:jc w:val="both"/>
    </w:pPr>
    <w:rPr>
      <w:sz w:val="16"/>
    </w:rPr>
  </w:style>
  <w:style w:type="character" w:customStyle="1" w:styleId="ae">
    <w:name w:val="Адресат"/>
    <w:basedOn w:val="1"/>
    <w:link w:val="ad"/>
    <w:rPr>
      <w:sz w:val="16"/>
    </w:rPr>
  </w:style>
  <w:style w:type="paragraph" w:styleId="af">
    <w:name w:val="No Spacing"/>
    <w:link w:val="af0"/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1">
    <w:name w:val="Нижний колонтитул Знак"/>
    <w:link w:val="af2"/>
    <w:rPr>
      <w:sz w:val="28"/>
    </w:rPr>
  </w:style>
  <w:style w:type="character" w:customStyle="1" w:styleId="af2">
    <w:name w:val="Нижний колонтитул Знак"/>
    <w:link w:val="af1"/>
    <w:rPr>
      <w:sz w:val="28"/>
    </w:rPr>
  </w:style>
  <w:style w:type="paragraph" w:styleId="af3">
    <w:name w:val="List Paragraph"/>
    <w:basedOn w:val="a"/>
    <w:link w:val="af4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4">
    <w:name w:val="Абзац списка Знак"/>
    <w:basedOn w:val="1"/>
    <w:link w:val="af3"/>
    <w:rPr>
      <w:rFonts w:ascii="Calibri" w:hAnsi="Calibri"/>
      <w:sz w:val="22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head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customStyle="1" w:styleId="1e">
    <w:name w:val="Верхний колонтитул Знак1"/>
    <w:link w:val="1f"/>
    <w:rPr>
      <w:sz w:val="24"/>
    </w:rPr>
  </w:style>
  <w:style w:type="character" w:customStyle="1" w:styleId="1f">
    <w:name w:val="Верхний колонтитул Знак1"/>
    <w:link w:val="1e"/>
    <w:rPr>
      <w:rFonts w:ascii="Times New Roman" w:hAnsi="Times New Roman"/>
      <w:sz w:val="24"/>
    </w:rPr>
  </w:style>
  <w:style w:type="paragraph" w:customStyle="1" w:styleId="af9">
    <w:name w:val="Проектный"/>
    <w:basedOn w:val="a"/>
    <w:link w:val="afa"/>
    <w:pPr>
      <w:spacing w:after="120" w:line="360" w:lineRule="auto"/>
      <w:ind w:firstLine="709"/>
      <w:jc w:val="both"/>
    </w:pPr>
  </w:style>
  <w:style w:type="character" w:customStyle="1" w:styleId="afa">
    <w:name w:val="Проектный"/>
    <w:basedOn w:val="1"/>
    <w:link w:val="af9"/>
    <w:rPr>
      <w:sz w:val="28"/>
    </w:rPr>
  </w:style>
  <w:style w:type="paragraph" w:customStyle="1" w:styleId="1f0">
    <w:name w:val="Номер страницы1"/>
    <w:basedOn w:val="13"/>
    <w:link w:val="afb"/>
  </w:style>
  <w:style w:type="character" w:styleId="afb">
    <w:name w:val="page number"/>
    <w:basedOn w:val="a0"/>
    <w:link w:val="1f0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Название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styleId="aff0">
    <w:name w:val="Body Text Indent"/>
    <w:basedOn w:val="a"/>
    <w:link w:val="aff1"/>
    <w:pPr>
      <w:ind w:left="2832"/>
      <w:jc w:val="both"/>
    </w:pPr>
    <w:rPr>
      <w:b/>
    </w:rPr>
  </w:style>
  <w:style w:type="character" w:customStyle="1" w:styleId="aff1">
    <w:name w:val="Основной текст с отступом Знак"/>
    <w:basedOn w:val="1"/>
    <w:link w:val="aff0"/>
    <w:rPr>
      <w:b/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f1">
    <w:name w:val="Верхний колонтитул1"/>
    <w:basedOn w:val="a"/>
    <w:link w:val="1f2"/>
    <w:pPr>
      <w:tabs>
        <w:tab w:val="center" w:pos="4536"/>
        <w:tab w:val="right" w:pos="9072"/>
      </w:tabs>
    </w:pPr>
    <w:rPr>
      <w:sz w:val="20"/>
    </w:rPr>
  </w:style>
  <w:style w:type="character" w:customStyle="1" w:styleId="1f2">
    <w:name w:val="Верхний колонтитул1"/>
    <w:basedOn w:val="1"/>
    <w:link w:val="1f1"/>
    <w:rPr>
      <w:sz w:val="20"/>
    </w:rPr>
  </w:style>
  <w:style w:type="paragraph" w:customStyle="1" w:styleId="aff2">
    <w:name w:val="Текст выноски Знак"/>
    <w:link w:val="aff3"/>
    <w:rPr>
      <w:rFonts w:ascii="Tahoma" w:hAnsi="Tahoma"/>
      <w:sz w:val="16"/>
    </w:rPr>
  </w:style>
  <w:style w:type="character" w:customStyle="1" w:styleId="aff3">
    <w:name w:val="Текст выноски Знак"/>
    <w:link w:val="aff2"/>
    <w:rPr>
      <w:rFonts w:ascii="Tahoma" w:hAnsi="Tahoma"/>
      <w:sz w:val="16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a5">
    <w:name w:val="Содерж"/>
    <w:basedOn w:val="a"/>
    <w:link w:val="a6"/>
    <w:pPr>
      <w:keepNext/>
      <w:spacing w:after="120"/>
      <w:jc w:val="center"/>
    </w:pPr>
    <w:rPr>
      <w:b/>
    </w:rPr>
  </w:style>
  <w:style w:type="character" w:customStyle="1" w:styleId="a6">
    <w:name w:val="Содерж"/>
    <w:basedOn w:val="1"/>
    <w:link w:val="a5"/>
    <w:rPr>
      <w:b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7">
    <w:name w:val="footer"/>
    <w:basedOn w:val="a"/>
    <w:link w:val="12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1"/>
    <w:link w:val="a7"/>
    <w:rPr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Основной шрифт абзаца1"/>
    <w:link w:val="a8"/>
  </w:style>
  <w:style w:type="paragraph" w:styleId="a8">
    <w:name w:val="Body Text"/>
    <w:basedOn w:val="a"/>
    <w:link w:val="a9"/>
    <w:pPr>
      <w:spacing w:line="360" w:lineRule="auto"/>
      <w:jc w:val="both"/>
    </w:pPr>
  </w:style>
  <w:style w:type="character" w:customStyle="1" w:styleId="a9">
    <w:name w:val="Основной текст Знак"/>
    <w:basedOn w:val="1"/>
    <w:link w:val="a8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14">
    <w:name w:val="Загл.14"/>
    <w:basedOn w:val="a"/>
    <w:link w:val="140"/>
    <w:pPr>
      <w:widowControl w:val="0"/>
      <w:jc w:val="center"/>
    </w:pPr>
    <w:rPr>
      <w:b/>
    </w:rPr>
  </w:style>
  <w:style w:type="character" w:customStyle="1" w:styleId="140">
    <w:name w:val="Загл.14"/>
    <w:basedOn w:val="1"/>
    <w:link w:val="14"/>
    <w:rPr>
      <w:b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customStyle="1" w:styleId="15">
    <w:name w:val="Знак сноски1"/>
    <w:link w:val="aa"/>
    <w:rPr>
      <w:vertAlign w:val="superscript"/>
    </w:rPr>
  </w:style>
  <w:style w:type="character" w:styleId="aa">
    <w:name w:val="footnote reference"/>
    <w:link w:val="15"/>
    <w:rPr>
      <w:vertAlign w:val="superscript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6">
    <w:name w:val="Заголовочек 1"/>
    <w:basedOn w:val="a"/>
    <w:link w:val="17"/>
    <w:pPr>
      <w:spacing w:line="360" w:lineRule="auto"/>
      <w:jc w:val="center"/>
    </w:pPr>
    <w:rPr>
      <w:b/>
      <w:smallCaps/>
      <w:spacing w:val="60"/>
    </w:rPr>
  </w:style>
  <w:style w:type="character" w:customStyle="1" w:styleId="17">
    <w:name w:val="Заголовочек 1"/>
    <w:basedOn w:val="1"/>
    <w:link w:val="16"/>
    <w:rPr>
      <w:b/>
      <w:smallCaps/>
      <w:spacing w:val="60"/>
      <w:sz w:val="28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b">
    <w:name w:val="Balloon Text"/>
    <w:basedOn w:val="a"/>
    <w:link w:val="18"/>
    <w:rPr>
      <w:rFonts w:ascii="Tahoma" w:hAnsi="Tahoma"/>
      <w:sz w:val="16"/>
    </w:rPr>
  </w:style>
  <w:style w:type="character" w:customStyle="1" w:styleId="18">
    <w:name w:val="Текст выноски Знак1"/>
    <w:basedOn w:val="1"/>
    <w:link w:val="ab"/>
    <w:rPr>
      <w:rFonts w:ascii="Tahoma" w:hAnsi="Tahoma"/>
      <w:sz w:val="16"/>
    </w:rPr>
  </w:style>
  <w:style w:type="paragraph" w:customStyle="1" w:styleId="19">
    <w:name w:val="Гиперссылка1"/>
    <w:link w:val="ac"/>
    <w:rPr>
      <w:color w:val="0000FF"/>
      <w:u w:val="single"/>
    </w:rPr>
  </w:style>
  <w:style w:type="character" w:styleId="ac">
    <w:name w:val="Hyperlink"/>
    <w:link w:val="19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c">
    <w:name w:val="Стиль1"/>
    <w:basedOn w:val="a"/>
    <w:link w:val="1d"/>
  </w:style>
  <w:style w:type="character" w:customStyle="1" w:styleId="1d">
    <w:name w:val="Стиль1"/>
    <w:basedOn w:val="1"/>
    <w:link w:val="1c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d">
    <w:name w:val="Адресат"/>
    <w:basedOn w:val="a"/>
    <w:link w:val="ae"/>
    <w:pPr>
      <w:ind w:left="3969"/>
      <w:jc w:val="both"/>
    </w:pPr>
    <w:rPr>
      <w:sz w:val="16"/>
    </w:rPr>
  </w:style>
  <w:style w:type="character" w:customStyle="1" w:styleId="ae">
    <w:name w:val="Адресат"/>
    <w:basedOn w:val="1"/>
    <w:link w:val="ad"/>
    <w:rPr>
      <w:sz w:val="16"/>
    </w:rPr>
  </w:style>
  <w:style w:type="paragraph" w:styleId="af">
    <w:name w:val="No Spacing"/>
    <w:link w:val="af0"/>
    <w:rPr>
      <w:rFonts w:ascii="Calibri" w:hAnsi="Calibri"/>
      <w:sz w:val="22"/>
    </w:rPr>
  </w:style>
  <w:style w:type="character" w:customStyle="1" w:styleId="af0">
    <w:name w:val="Без интервала Знак"/>
    <w:link w:val="af"/>
    <w:rPr>
      <w:rFonts w:ascii="Calibri" w:hAnsi="Calibri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1">
    <w:name w:val="Нижний колонтитул Знак"/>
    <w:link w:val="af2"/>
    <w:rPr>
      <w:sz w:val="28"/>
    </w:rPr>
  </w:style>
  <w:style w:type="character" w:customStyle="1" w:styleId="af2">
    <w:name w:val="Нижний колонтитул Знак"/>
    <w:link w:val="af1"/>
    <w:rPr>
      <w:sz w:val="28"/>
    </w:rPr>
  </w:style>
  <w:style w:type="paragraph" w:styleId="af3">
    <w:name w:val="List Paragraph"/>
    <w:basedOn w:val="a"/>
    <w:link w:val="af4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4">
    <w:name w:val="Абзац списка Знак"/>
    <w:basedOn w:val="1"/>
    <w:link w:val="af3"/>
    <w:rPr>
      <w:rFonts w:ascii="Calibri" w:hAnsi="Calibri"/>
      <w:sz w:val="22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header"/>
    <w:basedOn w:val="a"/>
    <w:link w:val="af8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customStyle="1" w:styleId="1e">
    <w:name w:val="Верхний колонтитул Знак1"/>
    <w:link w:val="1f"/>
    <w:rPr>
      <w:sz w:val="24"/>
    </w:rPr>
  </w:style>
  <w:style w:type="character" w:customStyle="1" w:styleId="1f">
    <w:name w:val="Верхний колонтитул Знак1"/>
    <w:link w:val="1e"/>
    <w:rPr>
      <w:rFonts w:ascii="Times New Roman" w:hAnsi="Times New Roman"/>
      <w:sz w:val="24"/>
    </w:rPr>
  </w:style>
  <w:style w:type="paragraph" w:customStyle="1" w:styleId="af9">
    <w:name w:val="Проектный"/>
    <w:basedOn w:val="a"/>
    <w:link w:val="afa"/>
    <w:pPr>
      <w:spacing w:after="120" w:line="360" w:lineRule="auto"/>
      <w:ind w:firstLine="709"/>
      <w:jc w:val="both"/>
    </w:pPr>
  </w:style>
  <w:style w:type="character" w:customStyle="1" w:styleId="afa">
    <w:name w:val="Проектный"/>
    <w:basedOn w:val="1"/>
    <w:link w:val="af9"/>
    <w:rPr>
      <w:sz w:val="28"/>
    </w:rPr>
  </w:style>
  <w:style w:type="paragraph" w:customStyle="1" w:styleId="1f0">
    <w:name w:val="Номер страницы1"/>
    <w:basedOn w:val="13"/>
    <w:link w:val="afb"/>
  </w:style>
  <w:style w:type="character" w:styleId="afb">
    <w:name w:val="page number"/>
    <w:basedOn w:val="a0"/>
    <w:link w:val="1f0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afc">
    <w:name w:val="Subtitle"/>
    <w:next w:val="a"/>
    <w:link w:val="af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d">
    <w:name w:val="Подзаголовок Знак"/>
    <w:link w:val="afc"/>
    <w:rPr>
      <w:rFonts w:ascii="XO Thames" w:hAnsi="XO Thames"/>
      <w:i/>
      <w:sz w:val="24"/>
    </w:rPr>
  </w:style>
  <w:style w:type="paragraph" w:styleId="afe">
    <w:name w:val="Title"/>
    <w:next w:val="a"/>
    <w:link w:val="a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">
    <w:name w:val="Название Знак"/>
    <w:link w:val="afe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styleId="aff0">
    <w:name w:val="Body Text Indent"/>
    <w:basedOn w:val="a"/>
    <w:link w:val="aff1"/>
    <w:pPr>
      <w:ind w:left="2832"/>
      <w:jc w:val="both"/>
    </w:pPr>
    <w:rPr>
      <w:b/>
    </w:rPr>
  </w:style>
  <w:style w:type="character" w:customStyle="1" w:styleId="aff1">
    <w:name w:val="Основной текст с отступом Знак"/>
    <w:basedOn w:val="1"/>
    <w:link w:val="aff0"/>
    <w:rPr>
      <w:b/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f1">
    <w:name w:val="Верхний колонтитул1"/>
    <w:basedOn w:val="a"/>
    <w:link w:val="1f2"/>
    <w:pPr>
      <w:tabs>
        <w:tab w:val="center" w:pos="4536"/>
        <w:tab w:val="right" w:pos="9072"/>
      </w:tabs>
    </w:pPr>
    <w:rPr>
      <w:sz w:val="20"/>
    </w:rPr>
  </w:style>
  <w:style w:type="character" w:customStyle="1" w:styleId="1f2">
    <w:name w:val="Верхний колонтитул1"/>
    <w:basedOn w:val="1"/>
    <w:link w:val="1f1"/>
    <w:rPr>
      <w:sz w:val="20"/>
    </w:rPr>
  </w:style>
  <w:style w:type="paragraph" w:customStyle="1" w:styleId="aff2">
    <w:name w:val="Текст выноски Знак"/>
    <w:link w:val="aff3"/>
    <w:rPr>
      <w:rFonts w:ascii="Tahoma" w:hAnsi="Tahoma"/>
      <w:sz w:val="16"/>
    </w:rPr>
  </w:style>
  <w:style w:type="character" w:customStyle="1" w:styleId="aff3">
    <w:name w:val="Текст выноски Знак"/>
    <w:link w:val="aff2"/>
    <w:rPr>
      <w:rFonts w:ascii="Tahoma" w:hAnsi="Tahoma"/>
      <w:sz w:val="16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27">
    <w:name w:val="Сетка таблицы2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4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1773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2025-07-28T09:18:00Z</dcterms:created>
  <dcterms:modified xsi:type="dcterms:W3CDTF">2025-07-28T09:18:00Z</dcterms:modified>
</cp:coreProperties>
</file>