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line="360" w:lineRule="auto"/>
        <w:ind/>
        <w:jc w:val="center"/>
      </w:pPr>
      <w:r>
        <w:drawing>
          <wp:inline>
            <wp:extent cx="752475" cy="79057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905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0"/>
        <w:ind/>
        <w:jc w:val="center"/>
        <w:outlineLvl w:val="0"/>
        <w:rPr>
          <w:b w:val="1"/>
          <w:sz w:val="28"/>
        </w:rPr>
      </w:pPr>
      <w:r>
        <w:rPr>
          <w:b w:val="1"/>
          <w:sz w:val="28"/>
        </w:rPr>
        <w:t xml:space="preserve">ТЕРРИТОРИАЛЬНАЯ ИЗБИРАТЕЛЬНАЯ КОМИССИЯ </w:t>
      </w:r>
    </w:p>
    <w:p w14:paraId="03000000">
      <w:pPr>
        <w:widowControl w:val="0"/>
        <w:ind/>
        <w:jc w:val="center"/>
        <w:rPr>
          <w:b w:val="1"/>
          <w:sz w:val="28"/>
        </w:rPr>
      </w:pPr>
      <w:r>
        <w:rPr>
          <w:b w:val="1"/>
          <w:sz w:val="28"/>
        </w:rPr>
        <w:t>ГОРОДА ТАГАНРОГА (ВОСТОЧНАЯ) РОСТОВСКОЙ ОБЛАСТИ</w:t>
      </w:r>
    </w:p>
    <w:p w14:paraId="04000000">
      <w:pPr>
        <w:widowControl w:val="0"/>
        <w:ind/>
        <w:jc w:val="center"/>
        <w:rPr>
          <w:b w:val="1"/>
          <w:sz w:val="28"/>
        </w:rPr>
      </w:pPr>
    </w:p>
    <w:p w14:paraId="05000000">
      <w:pPr>
        <w:widowControl w:val="0"/>
        <w:ind/>
        <w:jc w:val="center"/>
        <w:outlineLvl w:val="0"/>
        <w:rPr>
          <w:b w:val="1"/>
          <w:sz w:val="28"/>
        </w:rPr>
      </w:pPr>
      <w:r>
        <w:rPr>
          <w:b w:val="1"/>
          <w:sz w:val="28"/>
        </w:rPr>
        <w:t>ПОСТАНОВЛЕНИЕ</w:t>
      </w:r>
    </w:p>
    <w:p w14:paraId="06000000">
      <w:pPr>
        <w:widowControl w:val="0"/>
        <w:ind/>
        <w:jc w:val="center"/>
        <w:outlineLvl w:val="0"/>
        <w:rPr>
          <w:b w:val="1"/>
          <w:sz w:val="28"/>
        </w:rPr>
      </w:pPr>
    </w:p>
    <w:p w14:paraId="07000000">
      <w:pPr>
        <w:rPr>
          <w:sz w:val="28"/>
        </w:rPr>
      </w:pPr>
      <w:r>
        <w:rPr>
          <w:sz w:val="28"/>
        </w:rPr>
        <w:t xml:space="preserve">31 июля 2026 </w:t>
      </w:r>
      <w:r>
        <w:rPr>
          <w:sz w:val="28"/>
        </w:rPr>
        <w:t>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                               </w:t>
      </w:r>
      <w:r>
        <w:rPr>
          <w:sz w:val="28"/>
        </w:rPr>
        <w:t xml:space="preserve">№ </w:t>
      </w:r>
      <w:bookmarkStart w:id="1" w:name="_GoBack"/>
      <w:bookmarkEnd w:id="1"/>
      <w:r>
        <w:rPr>
          <w:sz w:val="28"/>
        </w:rPr>
        <w:t>8-5</w:t>
      </w:r>
    </w:p>
    <w:p w14:paraId="08000000">
      <w:pPr>
        <w:widowControl w:val="0"/>
        <w:ind/>
        <w:jc w:val="center"/>
        <w:rPr>
          <w:sz w:val="28"/>
        </w:rPr>
      </w:pPr>
      <w:r>
        <w:rPr>
          <w:sz w:val="28"/>
        </w:rPr>
        <w:t>г. Таганрог</w:t>
      </w:r>
    </w:p>
    <w:p w14:paraId="09000000">
      <w:pPr>
        <w:widowControl w:val="1"/>
        <w:ind w:left="1701" w:right="1416"/>
        <w:jc w:val="both"/>
        <w:rPr>
          <w:b w:val="1"/>
          <w:sz w:val="28"/>
        </w:rPr>
      </w:pPr>
    </w:p>
    <w:p w14:paraId="0A000000">
      <w:pPr>
        <w:widowControl w:val="1"/>
        <w:ind w:left="1701" w:right="1416"/>
        <w:jc w:val="both"/>
        <w:rPr>
          <w:b w:val="1"/>
          <w:sz w:val="28"/>
        </w:rPr>
      </w:pPr>
      <w:r>
        <w:rPr>
          <w:b w:val="1"/>
          <w:sz w:val="28"/>
        </w:rPr>
        <w:t xml:space="preserve">О предложении </w:t>
      </w:r>
      <w:r>
        <w:rPr>
          <w:b w:val="1"/>
          <w:sz w:val="28"/>
        </w:rPr>
        <w:t xml:space="preserve"> о выделении</w:t>
      </w:r>
      <w:r>
        <w:rPr>
          <w:b w:val="1"/>
          <w:sz w:val="28"/>
        </w:rPr>
        <w:t xml:space="preserve"> специальных мест </w:t>
      </w:r>
      <w:r>
        <w:rPr>
          <w:b w:val="1"/>
          <w:sz w:val="28"/>
        </w:rPr>
        <w:t xml:space="preserve">для размещения предвыборных печатных агитационных материалов </w:t>
      </w:r>
      <w:r>
        <w:rPr>
          <w:b w:val="1"/>
          <w:sz w:val="28"/>
        </w:rPr>
        <w:t>на территории</w:t>
      </w:r>
      <w:r>
        <w:rPr>
          <w:b w:val="1"/>
          <w:sz w:val="28"/>
        </w:rPr>
        <w:t xml:space="preserve"> каждого избирательного участка </w:t>
      </w:r>
      <w:r>
        <w:rPr>
          <w:b w:val="1"/>
          <w:sz w:val="28"/>
        </w:rPr>
        <w:t xml:space="preserve">при проведении выборов депутатов Государственной Думы Федерального Собрания Российской Федерации девятого созыва </w:t>
      </w:r>
    </w:p>
    <w:p w14:paraId="0B000000">
      <w:pPr>
        <w:widowControl w:val="1"/>
        <w:ind/>
        <w:jc w:val="center"/>
        <w:rPr>
          <w:b w:val="1"/>
          <w:sz w:val="16"/>
        </w:rPr>
      </w:pPr>
    </w:p>
    <w:p w14:paraId="0C000000">
      <w:pPr>
        <w:widowControl w:val="1"/>
        <w:tabs>
          <w:tab w:leader="none" w:pos="0" w:val="left"/>
        </w:tabs>
        <w:spacing w:line="276" w:lineRule="auto"/>
        <w:ind w:right="-1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 xml:space="preserve">Руководствуясь пунктом 7 статьи 54 Федерального закона                           от 12.06.2002 № 67-ФЗ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пунктом 9 статьи 68 Федерального закона от 22.02.2014 № 20-ФЗ «О выборах депутатов Государственной Думы Федерального Собрания Российской Федерации»</w:t>
      </w:r>
      <w:r>
        <w:rPr>
          <w:sz w:val="28"/>
        </w:rPr>
        <w:t>,</w:t>
      </w:r>
      <w:r>
        <w:rPr>
          <w:sz w:val="28"/>
        </w:rPr>
        <w:t xml:space="preserve"> </w:t>
      </w:r>
      <w:r>
        <w:rPr>
          <w:sz w:val="28"/>
        </w:rPr>
        <w:t xml:space="preserve"> Территориальная избирательная комиссия города Таганрога (восточная) Ростовской области</w:t>
      </w:r>
      <w:r>
        <w:rPr>
          <w:sz w:val="28"/>
        </w:rPr>
        <w:t xml:space="preserve"> </w:t>
      </w:r>
    </w:p>
    <w:p w14:paraId="0D000000">
      <w:pPr>
        <w:widowControl w:val="1"/>
        <w:tabs>
          <w:tab w:leader="none" w:pos="0" w:val="left"/>
        </w:tabs>
        <w:spacing w:line="276" w:lineRule="auto"/>
        <w:ind w:right="-1"/>
        <w:jc w:val="both"/>
        <w:rPr>
          <w:sz w:val="28"/>
        </w:rPr>
      </w:pPr>
    </w:p>
    <w:p w14:paraId="0E000000">
      <w:pPr>
        <w:widowControl w:val="0"/>
        <w:ind/>
        <w:jc w:val="center"/>
        <w:rPr>
          <w:b w:val="1"/>
          <w:sz w:val="28"/>
        </w:rPr>
      </w:pPr>
      <w:r>
        <w:rPr>
          <w:b w:val="1"/>
          <w:sz w:val="28"/>
        </w:rPr>
        <w:t>ПОСТАНОВИЛА:</w:t>
      </w:r>
      <w:r>
        <w:rPr>
          <w:b w:val="1"/>
          <w:sz w:val="28"/>
        </w:rPr>
        <w:br/>
      </w:r>
    </w:p>
    <w:p w14:paraId="0F000000">
      <w:pPr>
        <w:widowControl w:val="0"/>
        <w:ind/>
        <w:jc w:val="center"/>
        <w:rPr>
          <w:b w:val="1"/>
          <w:sz w:val="28"/>
        </w:rPr>
      </w:pPr>
    </w:p>
    <w:p w14:paraId="10000000">
      <w:pPr>
        <w:widowControl w:val="0"/>
        <w:numPr>
          <w:numId w:val="1"/>
        </w:numPr>
        <w:spacing w:line="360" w:lineRule="auto"/>
        <w:ind w:firstLine="1134" w:left="0"/>
        <w:jc w:val="both"/>
        <w:rPr>
          <w:sz w:val="28"/>
        </w:rPr>
      </w:pPr>
      <w:r>
        <w:rPr>
          <w:sz w:val="28"/>
        </w:rPr>
        <w:t>Определить Перечень специальных мест для размещения печатных предвыбо</w:t>
      </w:r>
      <w:r>
        <w:rPr>
          <w:sz w:val="28"/>
        </w:rPr>
        <w:t>рных агитационных материалов</w:t>
      </w:r>
      <w:r>
        <w:rPr>
          <w:sz w:val="28"/>
        </w:rPr>
        <w:t xml:space="preserve"> на </w:t>
      </w:r>
      <w:r>
        <w:rPr>
          <w:sz w:val="28"/>
        </w:rPr>
        <w:t>в</w:t>
      </w:r>
      <w:r>
        <w:rPr>
          <w:sz w:val="28"/>
        </w:rPr>
        <w:t xml:space="preserve">ыборах </w:t>
      </w:r>
      <w:r>
        <w:rPr>
          <w:b w:val="0"/>
          <w:sz w:val="28"/>
        </w:rPr>
        <w:t>депутатов Государственной Думы Федерального Собрания Российской Федерации девятого созыва</w:t>
      </w:r>
      <w:r>
        <w:rPr>
          <w:b w:val="0"/>
          <w:sz w:val="28"/>
        </w:rPr>
        <w:t xml:space="preserve"> </w:t>
      </w:r>
      <w:r>
        <w:rPr>
          <w:sz w:val="28"/>
        </w:rPr>
        <w:t xml:space="preserve"> на территории избирательных участков расположенных в границах относящихся к Территориальной избирательной комиссии города Таганрога (восточная) Ростовской области </w:t>
      </w:r>
      <w:r>
        <w:rPr>
          <w:sz w:val="28"/>
        </w:rPr>
        <w:t>(</w:t>
      </w:r>
      <w:r>
        <w:rPr>
          <w:sz w:val="28"/>
        </w:rPr>
        <w:t>Приложение).</w:t>
      </w:r>
    </w:p>
    <w:p w14:paraId="11000000">
      <w:pPr>
        <w:widowControl w:val="0"/>
        <w:spacing w:line="360" w:lineRule="auto"/>
        <w:ind w:firstLine="709" w:left="0"/>
        <w:jc w:val="both"/>
        <w:rPr>
          <w:b w:val="0"/>
        </w:rPr>
      </w:pPr>
      <w:r>
        <w:rPr>
          <w:sz w:val="28"/>
        </w:rPr>
        <w:t xml:space="preserve">2. </w:t>
      </w:r>
      <w:r>
        <w:rPr>
          <w:sz w:val="28"/>
        </w:rPr>
        <w:t>Предложить Администрации г. Таганрога выделить</w:t>
      </w:r>
      <w:r>
        <w:rPr>
          <w:sz w:val="28"/>
        </w:rPr>
        <w:t>,</w:t>
      </w:r>
      <w:r>
        <w:rPr>
          <w:sz w:val="28"/>
        </w:rPr>
        <w:t xml:space="preserve"> </w:t>
      </w:r>
      <w:r>
        <w:rPr>
          <w:sz w:val="28"/>
        </w:rPr>
        <w:t xml:space="preserve">согласно Перечня, специальные места </w:t>
      </w:r>
      <w:r>
        <w:rPr>
          <w:sz w:val="28"/>
        </w:rPr>
        <w:t>на территории избирательн</w:t>
      </w:r>
      <w:r>
        <w:rPr>
          <w:sz w:val="28"/>
        </w:rPr>
        <w:t>ых</w:t>
      </w:r>
      <w:r>
        <w:rPr>
          <w:sz w:val="28"/>
        </w:rPr>
        <w:t xml:space="preserve"> участк</w:t>
      </w:r>
      <w:r>
        <w:rPr>
          <w:sz w:val="28"/>
        </w:rPr>
        <w:t xml:space="preserve">ов, расположенных в границах </w:t>
      </w:r>
      <w:r>
        <w:rPr>
          <w:sz w:val="28"/>
        </w:rPr>
        <w:t xml:space="preserve"> относящихся к Территориальной избирательной комиссии города Таганрога (восточная) Ростовской области, </w:t>
      </w:r>
      <w:r>
        <w:rPr>
          <w:sz w:val="28"/>
        </w:rPr>
        <w:t xml:space="preserve">для размещения печатных предвыборных агитационных материалов </w:t>
      </w:r>
      <w:r>
        <w:rPr>
          <w:sz w:val="28"/>
        </w:rPr>
        <w:t>на</w:t>
      </w:r>
      <w:r>
        <w:rPr>
          <w:sz w:val="28"/>
        </w:rPr>
        <w:t xml:space="preserve"> </w:t>
      </w:r>
      <w:r>
        <w:rPr>
          <w:sz w:val="28"/>
        </w:rPr>
        <w:t>выборах</w:t>
      </w:r>
      <w:r>
        <w:rPr>
          <w:b w:val="0"/>
          <w:sz w:val="28"/>
        </w:rPr>
        <w:t xml:space="preserve"> </w:t>
      </w:r>
      <w:r>
        <w:rPr>
          <w:b w:val="0"/>
          <w:sz w:val="28"/>
        </w:rPr>
        <w:t>депутатов Государственной Думы Федерального Собрания Российской Федерации девятого созыва</w:t>
      </w:r>
      <w:r>
        <w:rPr>
          <w:b w:val="0"/>
          <w:sz w:val="28"/>
        </w:rPr>
        <w:t>.</w:t>
      </w:r>
    </w:p>
    <w:p w14:paraId="12000000">
      <w:pPr>
        <w:widowControl w:val="0"/>
        <w:spacing w:line="360" w:lineRule="auto"/>
        <w:ind w:firstLine="708" w:left="0"/>
        <w:jc w:val="both"/>
        <w:rPr>
          <w:sz w:val="28"/>
        </w:rPr>
      </w:pPr>
      <w:r>
        <w:rPr>
          <w:sz w:val="28"/>
        </w:rPr>
        <w:t xml:space="preserve">3. Разместить настоящее постановление </w:t>
      </w:r>
      <w:r>
        <w:rPr>
          <w:sz w:val="28"/>
        </w:rPr>
        <w:t xml:space="preserve">на сайте </w:t>
      </w:r>
      <w:r>
        <w:rPr>
          <w:sz w:val="28"/>
        </w:rPr>
        <w:t>Т</w:t>
      </w:r>
      <w:r>
        <w:rPr>
          <w:sz w:val="28"/>
        </w:rPr>
        <w:t xml:space="preserve">ерриториальной избирательной комиссии г. Таганрога (восточная) Ростовской области в информационно-телекоммуникационной сети </w:t>
      </w:r>
      <w:r>
        <w:rPr>
          <w:sz w:val="28"/>
        </w:rPr>
        <w:t>«</w:t>
      </w:r>
      <w:r>
        <w:rPr>
          <w:sz w:val="28"/>
        </w:rPr>
        <w:t>Интернет</w:t>
      </w:r>
      <w:r>
        <w:rPr>
          <w:sz w:val="28"/>
        </w:rPr>
        <w:t>».</w:t>
      </w:r>
    </w:p>
    <w:p w14:paraId="13000000">
      <w:pPr>
        <w:widowControl w:val="0"/>
        <w:spacing w:line="360" w:lineRule="auto"/>
        <w:ind w:firstLine="708" w:left="0"/>
        <w:jc w:val="both"/>
        <w:rPr>
          <w:b w:val="1"/>
          <w:sz w:val="28"/>
        </w:rPr>
      </w:pPr>
      <w:r>
        <w:rPr>
          <w:sz w:val="28"/>
        </w:rPr>
        <w:t xml:space="preserve">4. </w:t>
      </w:r>
      <w:r>
        <w:rPr>
          <w:sz w:val="28"/>
        </w:rPr>
        <w:t>Контр</w:t>
      </w:r>
      <w:r>
        <w:rPr>
          <w:sz w:val="28"/>
        </w:rPr>
        <w:t>оль над исполнением настоящего п</w:t>
      </w:r>
      <w:r>
        <w:rPr>
          <w:sz w:val="28"/>
        </w:rPr>
        <w:t>остановления возложить на председателя Территориальной избирательной комиссии города Таганрога (восточная) Ростовской области</w:t>
      </w:r>
      <w:r>
        <w:rPr>
          <w:b w:val="0"/>
          <w:sz w:val="28"/>
        </w:rPr>
        <w:t xml:space="preserve"> В.Г. Ерасова.</w:t>
      </w:r>
    </w:p>
    <w:p w14:paraId="14000000">
      <w:pPr>
        <w:widowControl w:val="0"/>
        <w:ind w:firstLine="708" w:left="0"/>
        <w:jc w:val="both"/>
        <w:rPr>
          <w:b w:val="0"/>
          <w:sz w:val="28"/>
        </w:rPr>
      </w:pPr>
    </w:p>
    <w:p w14:paraId="15000000">
      <w:pPr>
        <w:widowControl w:val="0"/>
        <w:ind/>
        <w:jc w:val="both"/>
        <w:rPr>
          <w:b w:val="1"/>
          <w:sz w:val="28"/>
        </w:rPr>
      </w:pPr>
    </w:p>
    <w:p w14:paraId="16000000">
      <w:pPr>
        <w:widowControl w:val="0"/>
        <w:ind/>
        <w:jc w:val="both"/>
        <w:rPr>
          <w:sz w:val="28"/>
        </w:rPr>
      </w:pPr>
      <w:r>
        <w:rPr>
          <w:sz w:val="28"/>
        </w:rPr>
        <w:t xml:space="preserve">  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                   </w:t>
      </w:r>
      <w:r>
        <w:rPr>
          <w:sz w:val="28"/>
        </w:rPr>
        <w:t>В.Г. Ерасов</w:t>
      </w:r>
    </w:p>
    <w:p w14:paraId="17000000">
      <w:pPr>
        <w:widowControl w:val="0"/>
        <w:ind/>
        <w:jc w:val="both"/>
        <w:rPr>
          <w:sz w:val="28"/>
        </w:rPr>
      </w:pPr>
    </w:p>
    <w:p w14:paraId="18000000">
      <w:pPr>
        <w:widowControl w:val="0"/>
        <w:ind/>
        <w:jc w:val="center"/>
        <w:rPr>
          <w:b w:val="1"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Ю.В. Романенко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widowControl w:val="0"/>
        <w:ind w:hanging="360" w:left="720"/>
      </w:pPr>
    </w:lvl>
    <w:lvl w:ilvl="1">
      <w:start w:val="1"/>
      <w:numFmt w:val="lowerLetter"/>
      <w:lvlText w:val="%2."/>
      <w:pPr>
        <w:widowControl w:val="0"/>
        <w:ind w:hanging="360" w:left="1440"/>
      </w:pPr>
    </w:lvl>
    <w:lvl w:ilvl="2">
      <w:start w:val="1"/>
      <w:numFmt w:val="lowerRoman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lvlText w:val="%4."/>
      <w:pPr>
        <w:widowControl w:val="0"/>
        <w:ind w:hanging="360" w:left="2880"/>
      </w:pPr>
    </w:lvl>
    <w:lvl w:ilvl="4">
      <w:start w:val="1"/>
      <w:numFmt w:val="lowerLetter"/>
      <w:lvlText w:val="%5."/>
      <w:pPr>
        <w:widowControl w:val="0"/>
        <w:ind w:hanging="360" w:left="3600"/>
      </w:pPr>
    </w:lvl>
    <w:lvl w:ilvl="5">
      <w:start w:val="1"/>
      <w:numFmt w:val="lowerRoman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lvlText w:val="%7."/>
      <w:pPr>
        <w:widowControl w:val="0"/>
        <w:ind w:hanging="360" w:left="5040"/>
      </w:pPr>
    </w:lvl>
    <w:lvl w:ilvl="7">
      <w:start w:val="1"/>
      <w:numFmt w:val="lowerLetter"/>
      <w:lvlText w:val="%8."/>
      <w:pPr>
        <w:widowControl w:val="0"/>
        <w:ind w:hanging="360" w:left="5760"/>
      </w:pPr>
    </w:lvl>
    <w:lvl w:ilvl="8">
      <w:start w:val="1"/>
      <w:numFmt w:val="lowerRoman"/>
      <w:lvlText w:val="%9."/>
      <w:lvlJc w:val="right"/>
      <w:pPr>
        <w:widowControl w:val="0"/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0"/>
    </w:rPr>
  </w:style>
  <w:style w:default="1" w:styleId="Style_1_ch" w:type="character">
    <w:name w:val="Normal"/>
    <w:link w:val="Style_1"/>
    <w:rPr>
      <w:rFonts w:ascii="Times New Roman" w:hAnsi="Times New Roman"/>
      <w:sz w:val="20"/>
    </w:rPr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List Paragraph"/>
    <w:basedOn w:val="Style_1"/>
    <w:link w:val="Style_6_ch"/>
    <w:pPr>
      <w:widowControl w:val="1"/>
      <w:ind w:firstLine="0" w:left="720"/>
      <w:contextualSpacing w:val="1"/>
    </w:pPr>
    <w:rPr>
      <w:sz w:val="24"/>
    </w:rPr>
  </w:style>
  <w:style w:styleId="Style_6_ch" w:type="character">
    <w:name w:val="List Paragraph"/>
    <w:basedOn w:val="Style_1_ch"/>
    <w:link w:val="Style_6"/>
    <w:rPr>
      <w:sz w:val="24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Endnote"/>
    <w:link w:val="Style_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1"/>
    <w:link w:val="Style_9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1"/>
    <w:link w:val="Style_11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1"/>
    <w:link w:val="Style_12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1"/>
    <w:link w:val="Style_17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Balloon Text"/>
    <w:basedOn w:val="Style_1"/>
    <w:link w:val="Style_18_ch"/>
    <w:rPr>
      <w:rFonts w:ascii="Tahoma" w:hAnsi="Tahoma"/>
      <w:sz w:val="16"/>
    </w:rPr>
  </w:style>
  <w:style w:styleId="Style_18_ch" w:type="character">
    <w:name w:val="Balloon Text"/>
    <w:basedOn w:val="Style_1_ch"/>
    <w:link w:val="Style_18"/>
    <w:rPr>
      <w:rFonts w:ascii="Tahoma" w:hAnsi="Tahoma"/>
      <w:sz w:val="16"/>
    </w:rPr>
  </w:style>
  <w:style w:styleId="Style_19" w:type="paragraph">
    <w:name w:val="toc 8"/>
    <w:next w:val="Style_1"/>
    <w:link w:val="Style_19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1"/>
    <w:link w:val="Style_20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1"/>
    <w:link w:val="Style_21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1"/>
    <w:link w:val="Style_22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1"/>
    <w:link w:val="Style_23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1"/>
    <w:link w:val="Style_24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2026-08-04T13:46:09Z</dcterms:created>
  <dcterms:modified xsi:type="dcterms:W3CDTF">2026-08-04T13:46:09Z</dcterms:modified>
</cp:coreProperties>
</file>