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i w:val="1"/>
          <w:sz w:val="24"/>
        </w:rPr>
        <w:t xml:space="preserve">Приложение </w:t>
      </w:r>
    </w:p>
    <w:p w14:paraId="02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i w:val="1"/>
          <w:sz w:val="24"/>
        </w:rPr>
        <w:t xml:space="preserve">к решению Совета клуба молодого </w:t>
      </w:r>
    </w:p>
    <w:p w14:paraId="03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i w:val="1"/>
          <w:sz w:val="24"/>
        </w:rPr>
        <w:t>избирателя «Право выбора»</w:t>
      </w:r>
    </w:p>
    <w:p w14:paraId="04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i w:val="1"/>
          <w:sz w:val="24"/>
        </w:rPr>
        <w:t xml:space="preserve"> № 3</w:t>
      </w:r>
      <w:r>
        <w:rPr>
          <w:rFonts w:ascii="Times New Roman" w:hAnsi="Times New Roman"/>
          <w:i w:val="1"/>
          <w:sz w:val="24"/>
        </w:rPr>
        <w:t>-1 от 20</w:t>
      </w:r>
      <w:r>
        <w:rPr>
          <w:rFonts w:ascii="Times New Roman" w:hAnsi="Times New Roman"/>
          <w:i w:val="1"/>
          <w:sz w:val="24"/>
        </w:rPr>
        <w:t>.01.2026</w:t>
      </w:r>
    </w:p>
    <w:p w14:paraId="05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</w:p>
    <w:p w14:paraId="06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</w:p>
    <w:p w14:paraId="07000000">
      <w:pPr>
        <w:widowControl w:val="1"/>
        <w:spacing w:after="0" w:line="240" w:lineRule="auto"/>
        <w:ind w:right="-143"/>
        <w:jc w:val="right"/>
        <w:rPr>
          <w:rFonts w:ascii="Times New Roman" w:hAnsi="Times New Roman"/>
          <w:i w:val="1"/>
          <w:sz w:val="24"/>
        </w:rPr>
      </w:pPr>
    </w:p>
    <w:p w14:paraId="08000000">
      <w:pPr>
        <w:widowControl w:val="1"/>
        <w:spacing w:after="0" w:line="240" w:lineRule="auto"/>
        <w:ind w:right="-143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ПЛАН МЕРОПРИЯТИЙ,</w:t>
      </w:r>
    </w:p>
    <w:p w14:paraId="09000000">
      <w:pPr>
        <w:widowControl w:val="1"/>
        <w:spacing w:after="0" w:line="240" w:lineRule="auto"/>
        <w:ind w:right="-143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посвященных</w:t>
      </w:r>
      <w:r>
        <w:rPr>
          <w:rFonts w:ascii="Times New Roman" w:hAnsi="Times New Roman"/>
          <w:b w:val="1"/>
          <w:sz w:val="28"/>
        </w:rPr>
        <w:t xml:space="preserve"> Дню молодого избирателя-2026</w:t>
      </w:r>
    </w:p>
    <w:p w14:paraId="0A000000">
      <w:pPr>
        <w:widowControl w:val="1"/>
        <w:spacing w:after="0" w:line="240" w:lineRule="auto"/>
        <w:ind w:right="-143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(с 16.02.2026г. по 27.02.2026</w:t>
      </w:r>
      <w:r>
        <w:rPr>
          <w:rFonts w:ascii="Times New Roman" w:hAnsi="Times New Roman"/>
          <w:b w:val="1"/>
          <w:sz w:val="28"/>
        </w:rPr>
        <w:t>г)</w:t>
      </w:r>
    </w:p>
    <w:p w14:paraId="0B000000">
      <w:pPr>
        <w:widowControl w:val="1"/>
        <w:spacing w:after="0" w:line="240" w:lineRule="auto"/>
        <w:ind w:right="-143"/>
        <w:jc w:val="center"/>
        <w:rPr>
          <w:rFonts w:ascii="Times New Roman" w:hAnsi="Times New Roman"/>
          <w:b w:val="1"/>
          <w:sz w:val="28"/>
        </w:rPr>
      </w:pPr>
    </w:p>
    <w:p w14:paraId="0C000000">
      <w:pPr>
        <w:widowControl w:val="1"/>
        <w:spacing w:after="0" w:line="240" w:lineRule="auto"/>
        <w:ind w:right="-143"/>
        <w:jc w:val="center"/>
        <w:rPr>
          <w:rFonts w:ascii="Times New Roman" w:hAnsi="Times New Roman"/>
          <w:b w:val="1"/>
          <w:sz w:val="28"/>
        </w:rPr>
      </w:pPr>
    </w:p>
    <w:tbl>
      <w:tblPr>
        <w:tblStyle w:val="Style_1"/>
        <w:tblW w:type="auto" w:w="0"/>
        <w:tblLayout w:type="fixed"/>
      </w:tblPr>
      <w:tblGrid>
        <w:gridCol w:w="511"/>
        <w:gridCol w:w="3078"/>
        <w:gridCol w:w="1619"/>
        <w:gridCol w:w="1970"/>
        <w:gridCol w:w="2393"/>
      </w:tblGrid>
      <w:tr>
        <w:tc>
          <w:tcPr>
            <w:tcW w:type="dxa" w:w="511"/>
          </w:tcPr>
          <w:p w14:paraId="0D000000">
            <w:pPr>
              <w:widowControl w:val="1"/>
              <w:ind w:right="-143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№ </w:t>
            </w:r>
            <w:r>
              <w:rPr>
                <w:rFonts w:ascii="Times New Roman" w:hAnsi="Times New Roman"/>
                <w:b w:val="1"/>
                <w:sz w:val="28"/>
              </w:rPr>
              <w:t>п</w:t>
            </w:r>
            <w:r>
              <w:rPr>
                <w:rFonts w:ascii="Times New Roman" w:hAnsi="Times New Roman"/>
                <w:b w:val="1"/>
                <w:sz w:val="28"/>
              </w:rPr>
              <w:t>/</w:t>
            </w:r>
            <w:r>
              <w:rPr>
                <w:rFonts w:ascii="Times New Roman" w:hAnsi="Times New Roman"/>
                <w:b w:val="1"/>
                <w:sz w:val="28"/>
              </w:rPr>
              <w:t>п</w:t>
            </w:r>
          </w:p>
        </w:tc>
        <w:tc>
          <w:tcPr>
            <w:tcW w:type="dxa" w:w="3078"/>
          </w:tcPr>
          <w:p w14:paraId="0E000000">
            <w:pPr>
              <w:widowControl w:val="1"/>
              <w:ind w:right="-143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Название мероприятия</w:t>
            </w:r>
          </w:p>
        </w:tc>
        <w:tc>
          <w:tcPr>
            <w:tcW w:type="dxa" w:w="1619"/>
          </w:tcPr>
          <w:p w14:paraId="0F000000">
            <w:pPr>
              <w:widowControl w:val="1"/>
              <w:ind w:right="-143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Сроки проведения</w:t>
            </w:r>
          </w:p>
        </w:tc>
        <w:tc>
          <w:tcPr>
            <w:tcW w:type="dxa" w:w="1970"/>
          </w:tcPr>
          <w:p w14:paraId="10000000">
            <w:pPr>
              <w:widowControl w:val="1"/>
              <w:ind w:right="-143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Участники </w:t>
            </w:r>
          </w:p>
        </w:tc>
        <w:tc>
          <w:tcPr>
            <w:tcW w:type="dxa" w:w="2393"/>
          </w:tcPr>
          <w:p w14:paraId="11000000">
            <w:pPr>
              <w:widowControl w:val="1"/>
              <w:ind w:right="-143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Ответственные </w:t>
            </w:r>
          </w:p>
        </w:tc>
      </w:tr>
      <w:tr>
        <w:trPr>
          <w:trHeight w:hRule="atLeast" w:val="2290"/>
        </w:trPr>
        <w:tc>
          <w:tcPr>
            <w:tcW w:type="dxa" w:w="511"/>
          </w:tcPr>
          <w:p w14:paraId="12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30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Конкурс рисунков, открыток – приглашений, очерков «Наш выбор – будущее России»</w:t>
            </w:r>
          </w:p>
        </w:tc>
        <w:tc>
          <w:tcPr>
            <w:tcW w:type="dxa" w:w="16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  <w:p w14:paraId="15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февраль 2026</w:t>
            </w:r>
          </w:p>
        </w:tc>
        <w:tc>
          <w:tcPr>
            <w:tcW w:type="dxa" w:w="19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Члены Совета клуба, молодые избиратели</w:t>
            </w:r>
          </w:p>
          <w:p w14:paraId="17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  <w:p w14:paraId="18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Школьники, студенты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Председатели ТИК, Оргкомитет, Совет клуба Молодого избирателя «Право выбора</w:t>
            </w:r>
          </w:p>
        </w:tc>
      </w:tr>
      <w:tr>
        <w:trPr>
          <w:trHeight w:hRule="atLeast" w:val="2645"/>
        </w:trPr>
        <w:tc>
          <w:tcPr>
            <w:tcW w:type="dxa" w:w="511"/>
          </w:tcPr>
          <w:p w14:paraId="1A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30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Турниры  по образовательной настольной игре «</w:t>
            </w:r>
            <w:r>
              <w:rPr>
                <w:rFonts w:ascii="Times New Roman" w:hAnsi="Times New Roman"/>
                <w:sz w:val="28"/>
              </w:rPr>
              <w:t>Terra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Democratia</w:t>
            </w:r>
            <w:r>
              <w:rPr>
                <w:rFonts w:ascii="Times New Roman" w:hAnsi="Times New Roman"/>
                <w:sz w:val="28"/>
              </w:rPr>
              <w:t>»</w:t>
            </w:r>
          </w:p>
          <w:p w14:paraId="1C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16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  <w:p w14:paraId="1E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февраль - апрель 2026</w:t>
            </w:r>
          </w:p>
        </w:tc>
        <w:tc>
          <w:tcPr>
            <w:tcW w:type="dxa" w:w="19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Члены Совета клуба, молодые избиратели</w:t>
            </w:r>
          </w:p>
          <w:p w14:paraId="20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  <w:p w14:paraId="21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Школьники, студенты</w:t>
            </w:r>
          </w:p>
          <w:p w14:paraId="22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Члены клуба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Председатели ТИК, Оргкомитет, Совет клуба Молодого избирателя «Право выбора</w:t>
            </w:r>
          </w:p>
        </w:tc>
      </w:tr>
      <w:tr>
        <w:trPr>
          <w:trHeight w:hRule="atLeast" w:val="2165"/>
        </w:trPr>
        <w:tc>
          <w:tcPr>
            <w:tcW w:type="dxa" w:w="511"/>
          </w:tcPr>
          <w:p w14:paraId="24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30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Конференция «Элект</w:t>
            </w:r>
            <w:r>
              <w:rPr>
                <w:rFonts w:ascii="Times New Roman" w:hAnsi="Times New Roman"/>
                <w:sz w:val="28"/>
              </w:rPr>
              <w:t>оральный Абсентеизм»</w:t>
            </w:r>
          </w:p>
        </w:tc>
        <w:tc>
          <w:tcPr>
            <w:tcW w:type="dxa" w:w="16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</w:t>
            </w:r>
            <w:r>
              <w:rPr>
                <w:rFonts w:ascii="Times New Roman" w:hAnsi="Times New Roman"/>
                <w:sz w:val="28"/>
              </w:rPr>
              <w:t xml:space="preserve"> марта 2026</w:t>
            </w:r>
          </w:p>
        </w:tc>
        <w:tc>
          <w:tcPr>
            <w:tcW w:type="dxa" w:w="19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Члены Совета клуба, молодые избиратели</w:t>
            </w:r>
          </w:p>
          <w:p w14:paraId="28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</w:p>
          <w:p w14:paraId="29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Школьники, студенты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Председатели ТИК, Оргкомитет, Совет клуба Молодого избирателя «Право выбора</w:t>
            </w:r>
          </w:p>
        </w:tc>
      </w:tr>
      <w:tr>
        <w:tc>
          <w:tcPr>
            <w:tcW w:type="dxa" w:w="511"/>
          </w:tcPr>
          <w:p w14:paraId="2B000000">
            <w:pPr>
              <w:widowControl w:val="1"/>
              <w:ind w:right="-14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30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Интерактивные занятия </w:t>
            </w:r>
            <w:r>
              <w:rPr>
                <w:rFonts w:ascii="Times New Roman" w:hAnsi="Times New Roman"/>
                <w:sz w:val="28"/>
              </w:rPr>
              <w:t>для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школьником</w:t>
            </w:r>
            <w:r>
              <w:rPr>
                <w:rFonts w:ascii="Times New Roman" w:hAnsi="Times New Roman"/>
                <w:sz w:val="28"/>
              </w:rPr>
              <w:t xml:space="preserve"> младшего и среднего школьного возрастов</w:t>
            </w:r>
          </w:p>
          <w:p w14:paraId="2D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(по </w:t>
            </w:r>
            <w:r>
              <w:rPr>
                <w:rFonts w:ascii="Times New Roman" w:hAnsi="Times New Roman"/>
                <w:sz w:val="28"/>
              </w:rPr>
              <w:t>согласованию)</w:t>
            </w:r>
          </w:p>
        </w:tc>
        <w:tc>
          <w:tcPr>
            <w:tcW w:type="dxa" w:w="161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февраль -май 2026</w:t>
            </w:r>
          </w:p>
        </w:tc>
        <w:tc>
          <w:tcPr>
            <w:tcW w:type="dxa" w:w="19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r>
              <w:rPr>
                <w:rFonts w:ascii="Times New Roman" w:hAnsi="Times New Roman"/>
                <w:sz w:val="28"/>
              </w:rPr>
              <w:t>Члены Совета клуба, молодые избиратели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Председатели ТИК, Оргкомитет, Совет клуба Молодого избирателя «Право выбора</w:t>
            </w:r>
          </w:p>
          <w:p w14:paraId="31000000">
            <w:pPr>
              <w:widowControl w:val="1"/>
              <w:ind w:right="-143"/>
              <w:rPr>
                <w:rFonts w:ascii="Times New Roman" w:hAnsi="Times New Roman"/>
                <w:sz w:val="28"/>
              </w:rPr>
            </w:pPr>
          </w:p>
        </w:tc>
      </w:tr>
    </w:tbl>
    <w:p w14:paraId="32000000">
      <w:pPr>
        <w:widowControl w:val="1"/>
        <w:spacing w:after="0" w:line="240" w:lineRule="auto"/>
        <w:ind w:right="-143"/>
        <w:jc w:val="center"/>
        <w:rPr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widowControl w:val="1"/>
      <w:ind w:left="200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widowControl w:val="1"/>
      <w:ind w:left="600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widowControl w:val="1"/>
      <w:ind w:left="1000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widowControl w:val="1"/>
      <w:ind w:left="1200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/>
      <w:jc w:val="both"/>
    </w:pPr>
    <w:rPr>
      <w:rFonts w:ascii="XO Thames" w:hAnsi="XO Thames"/>
    </w:rPr>
  </w:style>
  <w:style w:styleId="Style_7_ch" w:type="character">
    <w:name w:val="Endnote"/>
    <w:link w:val="Style_7"/>
    <w:rPr>
      <w:rFonts w:ascii="XO Thames" w:hAnsi="XO Thames"/>
    </w:rPr>
  </w:style>
  <w:style w:styleId="Style_8" w:type="paragraph">
    <w:name w:val="heading 3"/>
    <w:next w:val="Style_2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widowControl w:val="1"/>
      <w:ind w:left="400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</w:rPr>
  </w:style>
  <w:style w:styleId="Style_10_ch" w:type="character">
    <w:name w:val="heading 5"/>
    <w:link w:val="Style_10"/>
    <w:rPr>
      <w:rFonts w:ascii="XO Thames" w:hAnsi="XO Thames"/>
      <w:b w:val="1"/>
    </w:rPr>
  </w:style>
  <w:style w:styleId="Style_11" w:type="paragraph">
    <w:name w:val="heading 1"/>
    <w:next w:val="Style_2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Обычный1"/>
    <w:link w:val="Style_12_ch"/>
  </w:style>
  <w:style w:styleId="Style_12_ch" w:type="character">
    <w:name w:val="Обычный1"/>
    <w:link w:val="Style_12"/>
  </w:style>
  <w:style w:styleId="Style_13" w:type="paragraph">
    <w:name w:val="Основной шрифт абзаца1"/>
    <w:link w:val="Style_13_ch"/>
  </w:style>
  <w:style w:styleId="Style_13_ch" w:type="character">
    <w:name w:val="Основной шрифт абзаца1"/>
    <w:link w:val="Style_13"/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widowControl w:val="1"/>
      <w:ind w:firstLine="851"/>
      <w:jc w:val="both"/>
    </w:pPr>
    <w:rPr>
      <w:rFonts w:ascii="XO Thames" w:hAnsi="XO Thames"/>
    </w:rPr>
  </w:style>
  <w:style w:styleId="Style_15_ch" w:type="character">
    <w:name w:val="Footnote"/>
    <w:link w:val="Style_15"/>
    <w:rPr>
      <w:rFonts w:ascii="XO Thames" w:hAnsi="XO Thames"/>
    </w:rPr>
  </w:style>
  <w:style w:styleId="Style_16" w:type="paragraph">
    <w:name w:val="toc 1"/>
    <w:next w:val="Style_2"/>
    <w:link w:val="Style_16_ch"/>
    <w:uiPriority w:val="39"/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Обычный1"/>
    <w:link w:val="Style_18_ch"/>
  </w:style>
  <w:style w:styleId="Style_18_ch" w:type="character">
    <w:name w:val="Обычный1"/>
    <w:link w:val="Style_18"/>
  </w:style>
  <w:style w:styleId="Style_19" w:type="paragraph">
    <w:name w:val="toc 9"/>
    <w:next w:val="Style_2"/>
    <w:link w:val="Style_19_ch"/>
    <w:uiPriority w:val="39"/>
    <w:pPr>
      <w:widowControl w:val="1"/>
      <w:ind w:left="1600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toc 8"/>
    <w:next w:val="Style_2"/>
    <w:link w:val="Style_20_ch"/>
    <w:uiPriority w:val="39"/>
    <w:pPr>
      <w:widowControl w:val="1"/>
      <w:ind w:left="1400"/>
    </w:pPr>
    <w:rPr>
      <w:rFonts w:ascii="XO Thames" w:hAnsi="XO Thames"/>
      <w:sz w:val="28"/>
    </w:rPr>
  </w:style>
  <w:style w:styleId="Style_20_ch" w:type="character">
    <w:name w:val="toc 8"/>
    <w:link w:val="Style_20"/>
    <w:rPr>
      <w:rFonts w:ascii="XO Thames" w:hAnsi="XO Thames"/>
      <w:sz w:val="28"/>
    </w:rPr>
  </w:style>
  <w:style w:styleId="Style_21" w:type="paragraph">
    <w:name w:val="Гиперссылка1"/>
    <w:link w:val="Style_21_ch"/>
    <w:rPr>
      <w:color w:val="0000FF"/>
      <w:u w:val="single"/>
    </w:rPr>
  </w:style>
  <w:style w:styleId="Style_21_ch" w:type="character">
    <w:name w:val="Гиперссылка1"/>
    <w:link w:val="Style_21"/>
    <w:rPr>
      <w:color w:val="0000FF"/>
      <w:u w:val="single"/>
    </w:rPr>
  </w:style>
  <w:style w:styleId="Style_22" w:type="paragraph">
    <w:name w:val="toc 5"/>
    <w:next w:val="Style_2"/>
    <w:link w:val="Style_22_ch"/>
    <w:uiPriority w:val="39"/>
    <w:pPr>
      <w:widowControl w:val="1"/>
      <w:ind w:left="800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Гиперссылка1"/>
    <w:link w:val="Style_23_ch"/>
    <w:rPr>
      <w:color w:val="0000FF"/>
      <w:u w:val="single"/>
    </w:rPr>
  </w:style>
  <w:style w:styleId="Style_23_ch" w:type="character">
    <w:name w:val="Гиперссылка1"/>
    <w:link w:val="Style_23"/>
    <w:rPr>
      <w:color w:val="0000FF"/>
      <w:u w:val="single"/>
    </w:rPr>
  </w:style>
  <w:style w:styleId="Style_24" w:type="paragraph">
    <w:name w:val="Default Paragraph Font"/>
    <w:link w:val="Style_24_ch"/>
  </w:style>
  <w:style w:styleId="Style_24_ch" w:type="character">
    <w:name w:val="Default Paragraph Font"/>
    <w:link w:val="Style_24"/>
  </w:style>
  <w:style w:styleId="Style_25" w:type="paragraph">
    <w:name w:val="Subtitle"/>
    <w:next w:val="Style_2"/>
    <w:link w:val="Style_25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Основной шрифт абзаца1"/>
    <w:link w:val="Style_26_ch"/>
  </w:style>
  <w:style w:styleId="Style_26_ch" w:type="character">
    <w:name w:val="Основной шрифт абзаца1"/>
    <w:link w:val="Style_26"/>
  </w:style>
  <w:style w:styleId="Style_27" w:type="paragraph">
    <w:name w:val="Title"/>
    <w:next w:val="Style_2"/>
    <w:link w:val="Style_27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2"/>
    <w:link w:val="Style_28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29" w:type="paragraph">
    <w:name w:val="heading 2"/>
    <w:next w:val="Style_2"/>
    <w:link w:val="Style_29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9_ch" w:type="character">
    <w:name w:val="heading 2"/>
    <w:link w:val="Style_29"/>
    <w:rPr>
      <w:rFonts w:ascii="XO Thames" w:hAnsi="XO Thames"/>
      <w:b w:val="1"/>
      <w:sz w:val="28"/>
    </w:r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30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2024-02-07T19:17:00Z</dcterms:created>
  <dcterms:modified xsi:type="dcterms:W3CDTF">2026-01-26T06:45:13Z</dcterms:modified>
</cp:coreProperties>
</file>